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1E2AC" w14:textId="2E3C5EAE" w:rsidR="009644C5" w:rsidRPr="00225C8A" w:rsidRDefault="001C22E5" w:rsidP="006E4FDE">
      <w:pPr>
        <w:jc w:val="center"/>
        <w:rPr>
          <w:b/>
          <w:sz w:val="28"/>
          <w:szCs w:val="28"/>
          <w:lang w:val="id-ID"/>
        </w:rPr>
      </w:pPr>
      <w:r>
        <w:rPr>
          <w:b/>
          <w:sz w:val="28"/>
          <w:szCs w:val="28"/>
          <w:lang w:val="id-ID"/>
        </w:rPr>
        <w:t>STUDI</w:t>
      </w:r>
      <w:r w:rsidR="009114A9">
        <w:rPr>
          <w:b/>
          <w:sz w:val="28"/>
          <w:szCs w:val="28"/>
          <w:lang w:val="id-ID"/>
        </w:rPr>
        <w:t xml:space="preserve"> KOMPARASI </w:t>
      </w:r>
      <w:r w:rsidR="007B1E42" w:rsidRPr="00225C8A">
        <w:rPr>
          <w:b/>
          <w:sz w:val="28"/>
          <w:szCs w:val="28"/>
          <w:lang w:val="id-ID"/>
        </w:rPr>
        <w:t xml:space="preserve"> KETIMPANGAN </w:t>
      </w:r>
      <w:r w:rsidR="00C0605D">
        <w:rPr>
          <w:b/>
          <w:sz w:val="28"/>
          <w:szCs w:val="28"/>
          <w:lang w:val="id-ID"/>
        </w:rPr>
        <w:t xml:space="preserve">PEMBANGUNAN EKONOMI </w:t>
      </w:r>
      <w:r w:rsidR="00130A76">
        <w:rPr>
          <w:b/>
          <w:sz w:val="28"/>
          <w:szCs w:val="28"/>
          <w:lang w:val="id-ID"/>
        </w:rPr>
        <w:t xml:space="preserve"> </w:t>
      </w:r>
      <w:r w:rsidR="00C0605D">
        <w:rPr>
          <w:b/>
          <w:sz w:val="28"/>
          <w:szCs w:val="28"/>
          <w:lang w:val="id-ID"/>
        </w:rPr>
        <w:t xml:space="preserve"> </w:t>
      </w:r>
      <w:r w:rsidR="00211BE3">
        <w:rPr>
          <w:b/>
          <w:sz w:val="28"/>
          <w:szCs w:val="28"/>
          <w:lang w:val="id-ID"/>
        </w:rPr>
        <w:t xml:space="preserve">KABUPATEN </w:t>
      </w:r>
      <w:r w:rsidR="00C0605D">
        <w:rPr>
          <w:b/>
          <w:sz w:val="28"/>
          <w:szCs w:val="28"/>
          <w:lang w:val="id-ID"/>
        </w:rPr>
        <w:t>/</w:t>
      </w:r>
      <w:r w:rsidR="00211BE3">
        <w:rPr>
          <w:b/>
          <w:sz w:val="28"/>
          <w:szCs w:val="28"/>
          <w:lang w:val="id-ID"/>
        </w:rPr>
        <w:t xml:space="preserve">KOTA </w:t>
      </w:r>
      <w:r w:rsidR="00C0605D">
        <w:rPr>
          <w:b/>
          <w:sz w:val="28"/>
          <w:szCs w:val="28"/>
          <w:lang w:val="id-ID"/>
        </w:rPr>
        <w:t xml:space="preserve"> </w:t>
      </w:r>
      <w:r w:rsidR="00130A76">
        <w:rPr>
          <w:b/>
          <w:sz w:val="28"/>
          <w:szCs w:val="28"/>
          <w:lang w:val="id-ID"/>
        </w:rPr>
        <w:t xml:space="preserve">DI </w:t>
      </w:r>
      <w:r w:rsidR="0052064C" w:rsidRPr="00225C8A">
        <w:rPr>
          <w:b/>
          <w:sz w:val="28"/>
          <w:szCs w:val="28"/>
          <w:lang w:val="id-ID"/>
        </w:rPr>
        <w:t>PROPI</w:t>
      </w:r>
      <w:r w:rsidR="00211BE3">
        <w:rPr>
          <w:b/>
          <w:sz w:val="28"/>
          <w:szCs w:val="28"/>
          <w:lang w:val="id-ID"/>
        </w:rPr>
        <w:t>N</w:t>
      </w:r>
      <w:r w:rsidR="0052064C" w:rsidRPr="00225C8A">
        <w:rPr>
          <w:b/>
          <w:sz w:val="28"/>
          <w:szCs w:val="28"/>
          <w:lang w:val="id-ID"/>
        </w:rPr>
        <w:t xml:space="preserve">SI NUSA TENGGARA TIMUR  </w:t>
      </w:r>
      <w:r w:rsidR="00C0605D">
        <w:rPr>
          <w:b/>
          <w:sz w:val="28"/>
          <w:szCs w:val="28"/>
          <w:lang w:val="id-ID"/>
        </w:rPr>
        <w:t xml:space="preserve"> </w:t>
      </w:r>
      <w:r w:rsidR="0052064C" w:rsidRPr="00225C8A">
        <w:rPr>
          <w:b/>
          <w:sz w:val="28"/>
          <w:szCs w:val="28"/>
          <w:lang w:val="id-ID"/>
        </w:rPr>
        <w:t>TAHUN  2013 -2018</w:t>
      </w:r>
      <w:bookmarkStart w:id="0" w:name="_GoBack"/>
      <w:bookmarkEnd w:id="0"/>
    </w:p>
    <w:p w14:paraId="4BEC7247" w14:textId="77777777" w:rsidR="0052064C" w:rsidRDefault="0052064C" w:rsidP="006E4FDE">
      <w:pPr>
        <w:jc w:val="center"/>
        <w:rPr>
          <w:rFonts w:ascii="Calisto MT" w:hAnsi="Calisto MT"/>
          <w:b/>
          <w:lang w:val="id-ID"/>
        </w:rPr>
      </w:pPr>
    </w:p>
    <w:p w14:paraId="100D31AD" w14:textId="4B987AE7" w:rsidR="00F24129" w:rsidRDefault="00E34835" w:rsidP="00E34835">
      <w:pPr>
        <w:pStyle w:val="Penulis"/>
        <w:jc w:val="center"/>
        <w:rPr>
          <w:rFonts w:ascii="Calisto MT" w:hAnsi="Calisto MT"/>
          <w:lang w:val="id-ID"/>
        </w:rPr>
      </w:pPr>
      <w:r w:rsidRPr="00E34835">
        <w:rPr>
          <w:rFonts w:ascii="Calisto MT" w:hAnsi="Calisto MT"/>
          <w:lang w:val="id-ID"/>
        </w:rPr>
        <w:t>Oleh  :</w:t>
      </w:r>
    </w:p>
    <w:p w14:paraId="03332B8C" w14:textId="29BA2805" w:rsidR="00225C8A" w:rsidRPr="00605FF5" w:rsidRDefault="00225C8A" w:rsidP="00225C8A">
      <w:pPr>
        <w:jc w:val="center"/>
        <w:rPr>
          <w:b/>
          <w:vertAlign w:val="superscript"/>
          <w:lang w:val="id-ID"/>
        </w:rPr>
      </w:pPr>
      <w:r>
        <w:rPr>
          <w:b/>
          <w:lang w:val="id-ID"/>
        </w:rPr>
        <w:t>Estherlina  Saga</w:t>
      </w:r>
      <w:r w:rsidR="001D4A2C">
        <w:rPr>
          <w:b/>
          <w:lang w:val="id-ID"/>
        </w:rPr>
        <w:t>j</w:t>
      </w:r>
      <w:r>
        <w:rPr>
          <w:b/>
          <w:lang w:val="id-ID"/>
        </w:rPr>
        <w:t xml:space="preserve">oka </w:t>
      </w:r>
    </w:p>
    <w:p w14:paraId="5D1A5BB8" w14:textId="619B7861" w:rsidR="00225C8A" w:rsidRPr="00225C8A" w:rsidRDefault="00225C8A" w:rsidP="00225C8A">
      <w:pPr>
        <w:jc w:val="center"/>
        <w:rPr>
          <w:lang w:val="id-ID"/>
        </w:rPr>
      </w:pPr>
      <w:r w:rsidRPr="00851BF6">
        <w:t>Email:</w:t>
      </w:r>
      <w:r w:rsidRPr="00851BF6">
        <w:rPr>
          <w:lang w:val="id-ID"/>
        </w:rPr>
        <w:t xml:space="preserve"> </w:t>
      </w:r>
      <w:r>
        <w:rPr>
          <w:lang w:val="id-ID"/>
        </w:rPr>
        <w:t>esthersagajoka@gmail,com</w:t>
      </w:r>
    </w:p>
    <w:p w14:paraId="573D9516" w14:textId="75D81BE7" w:rsidR="00225C8A" w:rsidRPr="00851BF6" w:rsidRDefault="00225C8A" w:rsidP="00225C8A">
      <w:pPr>
        <w:jc w:val="center"/>
        <w:rPr>
          <w:lang w:val="id-ID"/>
        </w:rPr>
      </w:pPr>
      <w:r w:rsidRPr="00851BF6">
        <w:rPr>
          <w:lang w:val="id-ID"/>
        </w:rPr>
        <w:t>Prodi</w:t>
      </w:r>
      <w:r>
        <w:rPr>
          <w:lang w:val="id-ID"/>
        </w:rPr>
        <w:t xml:space="preserve"> Ekonomi  Pembangunan/ </w:t>
      </w:r>
      <w:r w:rsidRPr="00851BF6">
        <w:rPr>
          <w:lang w:val="id-ID"/>
        </w:rPr>
        <w:t xml:space="preserve"> Fakulta</w:t>
      </w:r>
      <w:r>
        <w:rPr>
          <w:lang w:val="id-ID"/>
        </w:rPr>
        <w:t>s Ekonomi/Universitas Flores</w:t>
      </w:r>
    </w:p>
    <w:p w14:paraId="708D4568" w14:textId="2742A05C" w:rsidR="00225C8A" w:rsidRPr="00225C8A" w:rsidRDefault="00225C8A" w:rsidP="00225C8A">
      <w:pPr>
        <w:jc w:val="center"/>
        <w:rPr>
          <w:lang w:val="id-ID"/>
        </w:rPr>
      </w:pPr>
      <w:r>
        <w:rPr>
          <w:lang w:val="id-ID"/>
        </w:rPr>
        <w:t>Jln. Sam Ratulangi Nomor XX</w:t>
      </w:r>
    </w:p>
    <w:p w14:paraId="76AC8D81" w14:textId="77777777" w:rsidR="00225C8A" w:rsidRPr="00851BF6" w:rsidRDefault="00225C8A" w:rsidP="00225C8A">
      <w:pPr>
        <w:jc w:val="center"/>
        <w:rPr>
          <w:b/>
          <w:lang w:val="id-ID"/>
        </w:rPr>
      </w:pPr>
    </w:p>
    <w:p w14:paraId="44B8DE41" w14:textId="77777777" w:rsidR="00225C8A" w:rsidRPr="00225C8A" w:rsidRDefault="00225C8A" w:rsidP="00225C8A">
      <w:pPr>
        <w:rPr>
          <w:lang w:val="id-ID"/>
        </w:rPr>
      </w:pPr>
    </w:p>
    <w:p w14:paraId="2C5D4F19" w14:textId="77777777" w:rsidR="00D12842" w:rsidRPr="00660829" w:rsidRDefault="00D12842" w:rsidP="00D12842">
      <w:pPr>
        <w:pStyle w:val="ICTSAuthorIdentity"/>
        <w:spacing w:after="0"/>
        <w:rPr>
          <w:rFonts w:ascii="Calisto MT" w:hAnsi="Calisto MT"/>
          <w:sz w:val="24"/>
          <w:szCs w:val="24"/>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38"/>
      </w:tblGrid>
      <w:tr w:rsidR="00972322" w:rsidRPr="00660829" w14:paraId="6889ADCE" w14:textId="77777777" w:rsidTr="00972322">
        <w:tc>
          <w:tcPr>
            <w:tcW w:w="7938" w:type="dxa"/>
          </w:tcPr>
          <w:p w14:paraId="759E7B2B" w14:textId="77777777" w:rsidR="003725D8" w:rsidRDefault="003725D8" w:rsidP="00CA575C">
            <w:pPr>
              <w:pStyle w:val="Judul2"/>
              <w:spacing w:before="0" w:after="0"/>
              <w:rPr>
                <w:sz w:val="24"/>
                <w:szCs w:val="24"/>
              </w:rPr>
            </w:pPr>
          </w:p>
          <w:p w14:paraId="2810BC12" w14:textId="77777777" w:rsidR="003725D8" w:rsidRDefault="003725D8" w:rsidP="003725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eastAsia="id-ID"/>
              </w:rPr>
            </w:pPr>
            <w:r w:rsidRPr="0054525A">
              <w:rPr>
                <w:lang w:eastAsia="id-ID"/>
              </w:rPr>
              <w:t>A</w:t>
            </w:r>
            <w:r w:rsidRPr="00C271BA">
              <w:rPr>
                <w:lang w:val="en" w:eastAsia="id-ID"/>
              </w:rPr>
              <w:t>BSTRACT</w:t>
            </w:r>
          </w:p>
          <w:p w14:paraId="250BB790" w14:textId="77777777" w:rsidR="003725D8" w:rsidRPr="00C271BA" w:rsidRDefault="003725D8" w:rsidP="003725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id-ID" w:eastAsia="id-ID"/>
              </w:rPr>
            </w:pPr>
          </w:p>
          <w:p w14:paraId="4D8DCB8E" w14:textId="77777777" w:rsidR="003725D8" w:rsidRPr="00C271BA" w:rsidRDefault="003725D8" w:rsidP="003725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id-ID" w:eastAsia="id-ID"/>
              </w:rPr>
            </w:pPr>
            <w:r w:rsidRPr="0054525A">
              <w:rPr>
                <w:lang w:eastAsia="id-ID"/>
              </w:rPr>
              <w:tab/>
            </w:r>
            <w:r w:rsidRPr="00C271BA">
              <w:rPr>
                <w:lang w:val="en" w:eastAsia="id-ID"/>
              </w:rPr>
              <w:t>This study aims to determine the comparison of the results of the inequality analysis of economic development between districts / cities in the province of East Nusa Tenggara for the period 2013-</w:t>
            </w:r>
            <w:proofErr w:type="gramStart"/>
            <w:r w:rsidRPr="00C271BA">
              <w:rPr>
                <w:lang w:val="en" w:eastAsia="id-ID"/>
              </w:rPr>
              <w:t>2018 ..</w:t>
            </w:r>
            <w:proofErr w:type="gramEnd"/>
            <w:r w:rsidRPr="00C271BA">
              <w:rPr>
                <w:lang w:val="en" w:eastAsia="id-ID"/>
              </w:rPr>
              <w:t xml:space="preserve"> The method used in this research is quantitative descriptive analysis using the Williamson index, and </w:t>
            </w:r>
            <w:proofErr w:type="spellStart"/>
            <w:r w:rsidRPr="00C271BA">
              <w:rPr>
                <w:lang w:val="en" w:eastAsia="id-ID"/>
              </w:rPr>
              <w:t>Theil</w:t>
            </w:r>
            <w:proofErr w:type="spellEnd"/>
            <w:r w:rsidRPr="00C271BA">
              <w:rPr>
                <w:lang w:val="en" w:eastAsia="id-ID"/>
              </w:rPr>
              <w:t xml:space="preserve"> Entropy Index, using time data per capita </w:t>
            </w:r>
            <w:r w:rsidRPr="0054525A">
              <w:rPr>
                <w:lang w:eastAsia="id-ID"/>
              </w:rPr>
              <w:t>PDRB</w:t>
            </w:r>
            <w:r w:rsidRPr="00C271BA">
              <w:rPr>
                <w:lang w:val="en" w:eastAsia="id-ID"/>
              </w:rPr>
              <w:t xml:space="preserve"> series and population data for each district / city in 2013-2018</w:t>
            </w:r>
            <w:r w:rsidRPr="0054525A">
              <w:rPr>
                <w:lang w:eastAsia="id-ID"/>
              </w:rPr>
              <w:t>.</w:t>
            </w:r>
          </w:p>
          <w:p w14:paraId="53C6E1EC" w14:textId="77777777" w:rsidR="003725D8" w:rsidRPr="0054525A" w:rsidRDefault="003725D8" w:rsidP="003725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id-ID"/>
              </w:rPr>
            </w:pPr>
            <w:r w:rsidRPr="0054525A">
              <w:rPr>
                <w:lang w:eastAsia="id-ID"/>
              </w:rPr>
              <w:tab/>
            </w:r>
            <w:r w:rsidRPr="00C271BA">
              <w:rPr>
                <w:lang w:val="en" w:eastAsia="id-ID"/>
              </w:rPr>
              <w:t xml:space="preserve">The Williamson Index analysis results show that the economic development sector inequality in 21 districts in NTT province is very evenly distributed (low inequality) except for </w:t>
            </w:r>
            <w:proofErr w:type="spellStart"/>
            <w:r w:rsidRPr="0054525A">
              <w:rPr>
                <w:lang w:eastAsia="id-ID"/>
              </w:rPr>
              <w:t>kota</w:t>
            </w:r>
            <w:proofErr w:type="spellEnd"/>
            <w:r w:rsidRPr="0054525A">
              <w:rPr>
                <w:lang w:eastAsia="id-ID"/>
              </w:rPr>
              <w:t xml:space="preserve"> </w:t>
            </w:r>
            <w:proofErr w:type="spellStart"/>
            <w:r w:rsidRPr="0054525A">
              <w:rPr>
                <w:lang w:val="en" w:eastAsia="id-ID"/>
              </w:rPr>
              <w:t>Kupang</w:t>
            </w:r>
            <w:proofErr w:type="spellEnd"/>
            <w:r w:rsidRPr="0054525A">
              <w:rPr>
                <w:lang w:eastAsia="id-ID"/>
              </w:rPr>
              <w:t>,</w:t>
            </w:r>
            <w:r w:rsidRPr="0054525A">
              <w:rPr>
                <w:lang w:val="en" w:eastAsia="id-ID"/>
              </w:rPr>
              <w:t xml:space="preserve"> which has </w:t>
            </w:r>
            <w:proofErr w:type="gramStart"/>
            <w:r w:rsidRPr="0054525A">
              <w:rPr>
                <w:lang w:val="en" w:eastAsia="id-ID"/>
              </w:rPr>
              <w:t>an</w:t>
            </w:r>
            <w:proofErr w:type="gramEnd"/>
            <w:r w:rsidRPr="0054525A">
              <w:rPr>
                <w:lang w:val="en" w:eastAsia="id-ID"/>
              </w:rPr>
              <w:t xml:space="preserve"> </w:t>
            </w:r>
            <w:r w:rsidRPr="00C271BA">
              <w:rPr>
                <w:lang w:val="en" w:eastAsia="id-ID"/>
              </w:rPr>
              <w:t>W</w:t>
            </w:r>
            <w:proofErr w:type="spellStart"/>
            <w:r w:rsidRPr="0054525A">
              <w:rPr>
                <w:lang w:eastAsia="id-ID"/>
              </w:rPr>
              <w:t>illiamson</w:t>
            </w:r>
            <w:proofErr w:type="spellEnd"/>
            <w:r w:rsidRPr="0054525A">
              <w:rPr>
                <w:lang w:eastAsia="id-ID"/>
              </w:rPr>
              <w:t xml:space="preserve"> Index</w:t>
            </w:r>
            <w:r w:rsidRPr="00C271BA">
              <w:rPr>
                <w:lang w:val="en" w:eastAsia="id-ID"/>
              </w:rPr>
              <w:t xml:space="preserve"> value of 1.49. </w:t>
            </w:r>
            <w:proofErr w:type="gramStart"/>
            <w:r w:rsidRPr="00C271BA">
              <w:rPr>
                <w:lang w:val="en" w:eastAsia="id-ID"/>
              </w:rPr>
              <w:t>other</w:t>
            </w:r>
            <w:proofErr w:type="gramEnd"/>
            <w:r w:rsidRPr="00C271BA">
              <w:rPr>
                <w:lang w:val="en" w:eastAsia="id-ID"/>
              </w:rPr>
              <w:t xml:space="preserve"> districts in NTT province in the period 2013-2018. The </w:t>
            </w:r>
            <w:proofErr w:type="spellStart"/>
            <w:r w:rsidRPr="00C271BA">
              <w:rPr>
                <w:lang w:val="en" w:eastAsia="id-ID"/>
              </w:rPr>
              <w:t>The</w:t>
            </w:r>
            <w:proofErr w:type="spellEnd"/>
            <w:r w:rsidRPr="00C271BA">
              <w:rPr>
                <w:lang w:val="en" w:eastAsia="id-ID"/>
              </w:rPr>
              <w:t xml:space="preserve"> Intra Index Analysis Results show spatial inequality within the regency. The city of Nusa Tenggara </w:t>
            </w:r>
            <w:proofErr w:type="spellStart"/>
            <w:r w:rsidRPr="00C271BA">
              <w:rPr>
                <w:lang w:val="en" w:eastAsia="id-ID"/>
              </w:rPr>
              <w:t>Timur</w:t>
            </w:r>
            <w:proofErr w:type="spellEnd"/>
            <w:r w:rsidRPr="00C271BA">
              <w:rPr>
                <w:lang w:val="en" w:eastAsia="id-ID"/>
              </w:rPr>
              <w:t xml:space="preserve"> province is fairly evenly distributed within th</w:t>
            </w:r>
            <w:r w:rsidRPr="0054525A">
              <w:rPr>
                <w:lang w:val="en" w:eastAsia="id-ID"/>
              </w:rPr>
              <w:t xml:space="preserve">e regency except the </w:t>
            </w:r>
            <w:proofErr w:type="spellStart"/>
            <w:r w:rsidRPr="0054525A">
              <w:rPr>
                <w:lang w:eastAsia="id-ID"/>
              </w:rPr>
              <w:t>kota</w:t>
            </w:r>
            <w:proofErr w:type="spellEnd"/>
            <w:r w:rsidRPr="0054525A">
              <w:rPr>
                <w:lang w:eastAsia="id-ID"/>
              </w:rPr>
              <w:t xml:space="preserve"> </w:t>
            </w:r>
            <w:proofErr w:type="spellStart"/>
            <w:proofErr w:type="gramStart"/>
            <w:r w:rsidRPr="0054525A">
              <w:rPr>
                <w:lang w:val="en" w:eastAsia="id-ID"/>
              </w:rPr>
              <w:t>Kupang</w:t>
            </w:r>
            <w:proofErr w:type="spellEnd"/>
            <w:r w:rsidRPr="0054525A">
              <w:rPr>
                <w:lang w:val="en" w:eastAsia="id-ID"/>
              </w:rPr>
              <w:t xml:space="preserve"> </w:t>
            </w:r>
            <w:r w:rsidRPr="00C271BA">
              <w:rPr>
                <w:lang w:val="en" w:eastAsia="id-ID"/>
              </w:rPr>
              <w:t xml:space="preserve"> shows</w:t>
            </w:r>
            <w:proofErr w:type="gramEnd"/>
            <w:r w:rsidRPr="00C271BA">
              <w:rPr>
                <w:lang w:val="en" w:eastAsia="id-ID"/>
              </w:rPr>
              <w:t xml:space="preserve"> an unequal inequality compared to 21 other districts. Through the </w:t>
            </w:r>
            <w:proofErr w:type="spellStart"/>
            <w:r w:rsidRPr="00C271BA">
              <w:rPr>
                <w:lang w:val="en" w:eastAsia="id-ID"/>
              </w:rPr>
              <w:t>Theil</w:t>
            </w:r>
            <w:proofErr w:type="spellEnd"/>
            <w:r w:rsidRPr="00C271BA">
              <w:rPr>
                <w:lang w:val="en" w:eastAsia="id-ID"/>
              </w:rPr>
              <w:t xml:space="preserve"> Entropy Index calculation of development inequality between 21 regencies and </w:t>
            </w:r>
            <w:proofErr w:type="spellStart"/>
            <w:r w:rsidRPr="0054525A">
              <w:rPr>
                <w:lang w:eastAsia="id-ID"/>
              </w:rPr>
              <w:t>kota</w:t>
            </w:r>
            <w:proofErr w:type="spellEnd"/>
            <w:r w:rsidRPr="0054525A">
              <w:rPr>
                <w:lang w:eastAsia="id-ID"/>
              </w:rPr>
              <w:t xml:space="preserve"> </w:t>
            </w:r>
            <w:proofErr w:type="spellStart"/>
            <w:r w:rsidRPr="0054525A">
              <w:rPr>
                <w:lang w:val="en" w:eastAsia="id-ID"/>
              </w:rPr>
              <w:t>Kupang</w:t>
            </w:r>
            <w:proofErr w:type="spellEnd"/>
            <w:r w:rsidRPr="0054525A">
              <w:rPr>
                <w:lang w:val="en" w:eastAsia="id-ID"/>
              </w:rPr>
              <w:t xml:space="preserve"> </w:t>
            </w:r>
            <w:r w:rsidRPr="00C271BA">
              <w:rPr>
                <w:lang w:val="en" w:eastAsia="id-ID"/>
              </w:rPr>
              <w:t xml:space="preserve"> tends to widen (divergence) which has </w:t>
            </w:r>
            <w:proofErr w:type="spellStart"/>
            <w:r w:rsidRPr="00C271BA">
              <w:rPr>
                <w:lang w:val="en" w:eastAsia="id-ID"/>
              </w:rPr>
              <w:t>Thei</w:t>
            </w:r>
            <w:proofErr w:type="spellEnd"/>
            <w:r w:rsidRPr="0054525A">
              <w:rPr>
                <w:lang w:eastAsia="id-ID"/>
              </w:rPr>
              <w:t xml:space="preserve">l </w:t>
            </w:r>
            <w:r w:rsidRPr="0054525A">
              <w:rPr>
                <w:lang w:val="en" w:eastAsia="id-ID"/>
              </w:rPr>
              <w:t xml:space="preserve"> Index of 798,</w:t>
            </w:r>
            <w:r w:rsidRPr="0054525A">
              <w:rPr>
                <w:lang w:eastAsia="id-ID"/>
              </w:rPr>
              <w:t>1</w:t>
            </w:r>
            <w:r w:rsidRPr="00C271BA">
              <w:rPr>
                <w:lang w:val="en" w:eastAsia="id-ID"/>
              </w:rPr>
              <w:t xml:space="preserve">5, while the other 21 districts in the 2013-2018 period have the </w:t>
            </w:r>
            <w:proofErr w:type="spellStart"/>
            <w:r w:rsidRPr="00C271BA">
              <w:rPr>
                <w:lang w:val="en" w:eastAsia="id-ID"/>
              </w:rPr>
              <w:t>Theil</w:t>
            </w:r>
            <w:proofErr w:type="spellEnd"/>
            <w:r w:rsidRPr="00C271BA">
              <w:rPr>
                <w:lang w:val="en" w:eastAsia="id-ID"/>
              </w:rPr>
              <w:t xml:space="preserve"> Entropy Index </w:t>
            </w:r>
            <w:proofErr w:type="spellStart"/>
            <w:r w:rsidRPr="00C271BA">
              <w:rPr>
                <w:lang w:val="en" w:eastAsia="id-ID"/>
              </w:rPr>
              <w:t>Index</w:t>
            </w:r>
            <w:proofErr w:type="spellEnd"/>
            <w:r w:rsidRPr="00C271BA">
              <w:rPr>
                <w:lang w:val="en" w:eastAsia="id-ID"/>
              </w:rPr>
              <w:t xml:space="preserve"> </w:t>
            </w:r>
          </w:p>
          <w:p w14:paraId="0FD604B0" w14:textId="77777777" w:rsidR="003725D8" w:rsidRPr="00C271BA" w:rsidRDefault="003725D8" w:rsidP="003725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en" w:eastAsia="id-ID"/>
              </w:rPr>
            </w:pPr>
            <w:r w:rsidRPr="0054525A">
              <w:rPr>
                <w:lang w:val="en" w:eastAsia="id-ID"/>
              </w:rPr>
              <w:t>211</w:t>
            </w:r>
            <w:proofErr w:type="gramStart"/>
            <w:r w:rsidRPr="0054525A">
              <w:rPr>
                <w:lang w:val="en" w:eastAsia="id-ID"/>
              </w:rPr>
              <w:t>,26</w:t>
            </w:r>
            <w:proofErr w:type="gramEnd"/>
            <w:r w:rsidRPr="0054525A">
              <w:rPr>
                <w:lang w:val="en" w:eastAsia="id-ID"/>
              </w:rPr>
              <w:t xml:space="preserve"> for Regencies and , TTS 201</w:t>
            </w:r>
            <w:r w:rsidRPr="0054525A">
              <w:rPr>
                <w:lang w:eastAsia="id-ID"/>
              </w:rPr>
              <w:t>,</w:t>
            </w:r>
            <w:r w:rsidRPr="00C271BA">
              <w:rPr>
                <w:lang w:val="en" w:eastAsia="id-ID"/>
              </w:rPr>
              <w:t>11, while other districts have an index number below 200.</w:t>
            </w:r>
          </w:p>
          <w:p w14:paraId="303209C9" w14:textId="39376545" w:rsidR="003725D8" w:rsidRPr="00C271BA" w:rsidRDefault="003725D8" w:rsidP="003725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jc w:val="both"/>
              <w:rPr>
                <w:rFonts w:ascii="inherit" w:hAnsi="inherit" w:cs="Courier New"/>
                <w:i/>
                <w:sz w:val="42"/>
                <w:szCs w:val="42"/>
                <w:lang w:val="en" w:eastAsia="id-ID"/>
              </w:rPr>
            </w:pPr>
            <w:r w:rsidRPr="00C271BA">
              <w:rPr>
                <w:i/>
                <w:lang w:val="en" w:eastAsia="id-ID"/>
              </w:rPr>
              <w:t> Keywords:</w:t>
            </w:r>
            <w:r w:rsidR="00632E39">
              <w:rPr>
                <w:i/>
                <w:lang w:val="en" w:eastAsia="id-ID"/>
              </w:rPr>
              <w:t xml:space="preserve"> Comparative Study; Inequality</w:t>
            </w:r>
            <w:r w:rsidRPr="00C271BA">
              <w:rPr>
                <w:i/>
                <w:lang w:val="en" w:eastAsia="id-ID"/>
              </w:rPr>
              <w:t xml:space="preserve">; </w:t>
            </w:r>
            <w:proofErr w:type="spellStart"/>
            <w:r w:rsidRPr="00C271BA">
              <w:rPr>
                <w:i/>
                <w:lang w:val="en" w:eastAsia="id-ID"/>
              </w:rPr>
              <w:t>wiliamson</w:t>
            </w:r>
            <w:proofErr w:type="spellEnd"/>
            <w:r w:rsidRPr="00C271BA">
              <w:rPr>
                <w:i/>
                <w:lang w:val="en" w:eastAsia="id-ID"/>
              </w:rPr>
              <w:t xml:space="preserve"> index; </w:t>
            </w:r>
            <w:proofErr w:type="spellStart"/>
            <w:r w:rsidRPr="00C271BA">
              <w:rPr>
                <w:i/>
                <w:lang w:val="en" w:eastAsia="id-ID"/>
              </w:rPr>
              <w:t>Theil</w:t>
            </w:r>
            <w:proofErr w:type="spellEnd"/>
            <w:r w:rsidRPr="00C271BA">
              <w:rPr>
                <w:i/>
                <w:lang w:val="en" w:eastAsia="id-ID"/>
              </w:rPr>
              <w:t xml:space="preserve"> Entropy Index</w:t>
            </w:r>
          </w:p>
          <w:p w14:paraId="773CE99A" w14:textId="77777777" w:rsidR="003725D8" w:rsidRDefault="003725D8" w:rsidP="003725D8">
            <w:pPr>
              <w:pStyle w:val="Judul2"/>
              <w:spacing w:before="0" w:after="0"/>
              <w:jc w:val="left"/>
              <w:rPr>
                <w:sz w:val="24"/>
                <w:szCs w:val="24"/>
              </w:rPr>
            </w:pPr>
          </w:p>
          <w:p w14:paraId="51C4C102" w14:textId="77777777" w:rsidR="00CA575C" w:rsidRPr="00CD42B8" w:rsidRDefault="00CA575C" w:rsidP="00CA575C">
            <w:pPr>
              <w:pStyle w:val="Judul2"/>
              <w:spacing w:before="0" w:after="0"/>
              <w:rPr>
                <w:sz w:val="24"/>
                <w:szCs w:val="24"/>
              </w:rPr>
            </w:pPr>
            <w:r w:rsidRPr="00CD42B8">
              <w:rPr>
                <w:sz w:val="24"/>
                <w:szCs w:val="24"/>
              </w:rPr>
              <w:t>ABSTRAK</w:t>
            </w:r>
          </w:p>
          <w:p w14:paraId="042D5302" w14:textId="77777777" w:rsidR="00CA575C" w:rsidRPr="00CA575C" w:rsidRDefault="00CA575C" w:rsidP="00CA575C">
            <w:pPr>
              <w:pStyle w:val="Judul2"/>
              <w:spacing w:before="0" w:after="0"/>
              <w:ind w:firstLine="720"/>
              <w:jc w:val="both"/>
              <w:rPr>
                <w:b w:val="0"/>
                <w:sz w:val="24"/>
                <w:szCs w:val="24"/>
              </w:rPr>
            </w:pPr>
            <w:r w:rsidRPr="00CA575C">
              <w:rPr>
                <w:b w:val="0"/>
                <w:sz w:val="24"/>
                <w:szCs w:val="24"/>
              </w:rPr>
              <w:t xml:space="preserve">Penelitian   ini  bertujuan  untuk  mengetahui  Perbandingan   hasil analisis  ketimpangan  Pembangunan   ekonomi antar kabupaten /kota di propinsi  Nusa  Tenggara Timur  periode 2013-2018.. Metode  yang  digunakan dalam penelitian ini adalah deskriptif kuantitatif menggunakan analisis indeks Williamson, dan Indeks  Entropi Theil., dengan menggunakan data time series PDRB  perkapita dan data penduduk  masing-masing kabupaten/kota tahun 2013-2018 </w:t>
            </w:r>
          </w:p>
          <w:p w14:paraId="41A5FCBF" w14:textId="6B9C1B40" w:rsidR="00972322" w:rsidRPr="00CA575C" w:rsidRDefault="00CA575C" w:rsidP="00CA575C">
            <w:pPr>
              <w:pStyle w:val="Judul2"/>
              <w:spacing w:before="0" w:after="0"/>
              <w:ind w:firstLine="720"/>
              <w:jc w:val="both"/>
              <w:rPr>
                <w:b w:val="0"/>
                <w:sz w:val="24"/>
                <w:szCs w:val="24"/>
              </w:rPr>
            </w:pPr>
            <w:r w:rsidRPr="00CA575C">
              <w:rPr>
                <w:b w:val="0"/>
                <w:sz w:val="24"/>
                <w:szCs w:val="24"/>
              </w:rPr>
              <w:t xml:space="preserve">Hasil analsis Indeks Williamson  menunjukan  bahwa   Ketimpangan pembangunan sektor sektor ekonomi  di 21 kabupaten di propinsi NTT  sangat merata  (Ketimpangan rendah)  kecuali   Kota Kupang yang memiliki   nilai IW </w:t>
            </w:r>
            <w:r w:rsidRPr="00CA575C">
              <w:rPr>
                <w:b w:val="0"/>
                <w:sz w:val="24"/>
                <w:szCs w:val="24"/>
              </w:rPr>
              <w:lastRenderedPageBreak/>
              <w:t>sebesar  1,49  hal ini  mengindikasikan bahwa Ketimpangan Pembangunan sektor  Ekonomi  Kota Kupang sangat  tinggi   dibandingkan dengan kabupaten-kabupaten lainnya  di  provinsi  NTT pada  periode 2013-2018. Hasil    Analisis   Indeks   Theil   Intra    menunjukan  ketimpangan   spasial   dalam kabupaten.kota di propinsi Nusa Tenggara Timur cukup merata  dalam kabupaten kecuali  Kota  kupang menunjukan  ketimpangan  yang  tidak merata di bandikan dengan  21 kabupaten  lainnya. Melalui  perhitungan  Indeks Entropi Theil  ketimpangan  pembangunan  antar 21  kabupaten  dan  kota kupang   cenderung melebar  (</w:t>
            </w:r>
            <w:r w:rsidRPr="00CA575C">
              <w:rPr>
                <w:b w:val="0"/>
                <w:i/>
                <w:sz w:val="24"/>
                <w:szCs w:val="24"/>
              </w:rPr>
              <w:t>divergence</w:t>
            </w:r>
            <w:r w:rsidRPr="00CA575C">
              <w:rPr>
                <w:b w:val="0"/>
                <w:sz w:val="24"/>
                <w:szCs w:val="24"/>
              </w:rPr>
              <w:t xml:space="preserve">)   yang   memiliki   Indeks  Thei;l sebesar 798.,15,    sedangkan  21  kapupaten  lainnya  pada  periode 2013-2018  memiliki  nilai Indeks Entropi Theil 211, 26 untuk Kabupaten  dan , TTS 201,11, sedangkan kabupaten  lainnya memiliki angka  indeks  di bawah  200. </w:t>
            </w:r>
          </w:p>
          <w:p w14:paraId="6DA0A55E" w14:textId="77777777" w:rsidR="00CA575C" w:rsidRPr="00CA575C" w:rsidRDefault="00CA575C" w:rsidP="00CA575C">
            <w:pPr>
              <w:pStyle w:val="Judul2"/>
              <w:spacing w:before="0" w:after="0"/>
              <w:ind w:firstLine="720"/>
              <w:jc w:val="both"/>
              <w:rPr>
                <w:b w:val="0"/>
                <w:sz w:val="24"/>
                <w:szCs w:val="24"/>
              </w:rPr>
            </w:pPr>
          </w:p>
          <w:p w14:paraId="7626074D" w14:textId="4ACCDBAF" w:rsidR="00972322" w:rsidRPr="00972322" w:rsidRDefault="00972322" w:rsidP="00632E39">
            <w:pPr>
              <w:pStyle w:val="NoSpacing"/>
              <w:autoSpaceDE w:val="0"/>
              <w:autoSpaceDN w:val="0"/>
              <w:adjustRightInd w:val="0"/>
              <w:ind w:left="1701" w:hanging="1701"/>
              <w:jc w:val="both"/>
              <w:rPr>
                <w:rFonts w:ascii="Times New Roman" w:hAnsi="Times New Roman" w:cs="Times New Roman"/>
                <w:i/>
                <w:color w:val="000000"/>
                <w:sz w:val="20"/>
                <w:szCs w:val="20"/>
                <w:lang w:val="id-ID"/>
              </w:rPr>
            </w:pPr>
            <w:r w:rsidRPr="00CA575C">
              <w:rPr>
                <w:rFonts w:ascii="Times New Roman" w:hAnsi="Times New Roman" w:cs="Times New Roman"/>
                <w:i/>
                <w:color w:val="000000"/>
                <w:sz w:val="24"/>
                <w:szCs w:val="24"/>
                <w:lang w:val="id-ID"/>
              </w:rPr>
              <w:t xml:space="preserve"> Kata  Kunci :   </w:t>
            </w:r>
            <w:r w:rsidR="001C22E5">
              <w:rPr>
                <w:rFonts w:ascii="Times New Roman" w:hAnsi="Times New Roman" w:cs="Times New Roman"/>
                <w:i/>
                <w:color w:val="000000"/>
                <w:sz w:val="24"/>
                <w:szCs w:val="24"/>
                <w:lang w:val="id-ID"/>
              </w:rPr>
              <w:t>Studi</w:t>
            </w:r>
            <w:r w:rsidR="00632E39">
              <w:rPr>
                <w:rFonts w:ascii="Times New Roman" w:hAnsi="Times New Roman" w:cs="Times New Roman"/>
                <w:i/>
                <w:color w:val="000000"/>
                <w:sz w:val="24"/>
                <w:szCs w:val="24"/>
                <w:lang w:val="id-ID"/>
              </w:rPr>
              <w:t xml:space="preserve"> komparasi; Ketimpangan;</w:t>
            </w:r>
            <w:r w:rsidRPr="00CA575C">
              <w:rPr>
                <w:rFonts w:ascii="Times New Roman" w:hAnsi="Times New Roman" w:cs="Times New Roman"/>
                <w:i/>
                <w:color w:val="000000"/>
                <w:sz w:val="24"/>
                <w:szCs w:val="24"/>
                <w:lang w:val="id-ID"/>
              </w:rPr>
              <w:t xml:space="preserve">  </w:t>
            </w:r>
            <w:r w:rsidR="00632E39">
              <w:rPr>
                <w:rFonts w:ascii="Times New Roman" w:hAnsi="Times New Roman" w:cs="Times New Roman"/>
                <w:i/>
                <w:sz w:val="24"/>
                <w:szCs w:val="24"/>
                <w:lang w:val="id-ID"/>
              </w:rPr>
              <w:t>Indeks W</w:t>
            </w:r>
            <w:r w:rsidRPr="00CA575C">
              <w:rPr>
                <w:rFonts w:ascii="Times New Roman" w:hAnsi="Times New Roman" w:cs="Times New Roman"/>
                <w:i/>
                <w:sz w:val="24"/>
                <w:szCs w:val="24"/>
                <w:lang w:val="id-ID"/>
              </w:rPr>
              <w:t>iliamson</w:t>
            </w:r>
            <w:r w:rsidR="00CA575C" w:rsidRPr="00CA575C">
              <w:rPr>
                <w:rFonts w:ascii="Times New Roman" w:hAnsi="Times New Roman" w:cs="Times New Roman"/>
                <w:i/>
                <w:sz w:val="24"/>
                <w:szCs w:val="24"/>
                <w:lang w:val="id-ID"/>
              </w:rPr>
              <w:t>; Indeks Entropi Theil</w:t>
            </w:r>
            <w:r w:rsidR="00CA575C">
              <w:rPr>
                <w:rFonts w:ascii="Calisto MT" w:hAnsi="Calisto MT"/>
                <w:i/>
                <w:lang w:val="id-ID"/>
              </w:rPr>
              <w:t xml:space="preserve"> </w:t>
            </w:r>
          </w:p>
          <w:p w14:paraId="7BCFA8BF" w14:textId="53338240" w:rsidR="00972322" w:rsidRPr="00972322" w:rsidRDefault="00972322" w:rsidP="00F321E7">
            <w:pPr>
              <w:pStyle w:val="NoSpacing"/>
              <w:numPr>
                <w:ilvl w:val="0"/>
                <w:numId w:val="4"/>
              </w:numPr>
              <w:autoSpaceDE w:val="0"/>
              <w:autoSpaceDN w:val="0"/>
              <w:adjustRightInd w:val="0"/>
              <w:ind w:left="55" w:hanging="425"/>
              <w:jc w:val="both"/>
              <w:rPr>
                <w:rFonts w:ascii="Times New Roman" w:hAnsi="Times New Roman" w:cs="Times New Roman"/>
                <w:i/>
                <w:sz w:val="20"/>
                <w:szCs w:val="20"/>
              </w:rPr>
            </w:pPr>
            <w:bookmarkStart w:id="1" w:name="_Ref26556792"/>
          </w:p>
        </w:tc>
        <w:bookmarkEnd w:id="1"/>
      </w:tr>
    </w:tbl>
    <w:p w14:paraId="2CE559AB" w14:textId="193C999C" w:rsidR="00314E97" w:rsidRPr="009D3C6B" w:rsidRDefault="009644C5" w:rsidP="00477F24">
      <w:pPr>
        <w:pStyle w:val="Heading1"/>
        <w:numPr>
          <w:ilvl w:val="0"/>
          <w:numId w:val="14"/>
        </w:numPr>
        <w:spacing w:before="0" w:after="0" w:line="360" w:lineRule="auto"/>
        <w:ind w:left="426" w:hanging="426"/>
        <w:rPr>
          <w:sz w:val="24"/>
          <w:szCs w:val="24"/>
          <w:lang w:val="id-ID"/>
        </w:rPr>
      </w:pPr>
      <w:r w:rsidRPr="009D3C6B">
        <w:rPr>
          <w:sz w:val="24"/>
          <w:szCs w:val="24"/>
          <w:lang w:val="id-ID"/>
        </w:rPr>
        <w:lastRenderedPageBreak/>
        <w:t>PENDAHULUAN</w:t>
      </w:r>
    </w:p>
    <w:p w14:paraId="5F6CAE29" w14:textId="054D2EF3" w:rsidR="00314E97" w:rsidRPr="009D3C6B" w:rsidRDefault="00314E97" w:rsidP="00477F24">
      <w:pPr>
        <w:spacing w:line="360" w:lineRule="auto"/>
        <w:ind w:firstLine="720"/>
        <w:jc w:val="both"/>
        <w:rPr>
          <w:lang w:val="id-ID"/>
        </w:rPr>
      </w:pPr>
      <w:r w:rsidRPr="009D3C6B">
        <w:rPr>
          <w:lang w:val="id-ID"/>
        </w:rPr>
        <w:t xml:space="preserve">Pembangunan </w:t>
      </w:r>
      <w:proofErr w:type="spellStart"/>
      <w:r w:rsidRPr="009D3C6B">
        <w:t>Ekonomi</w:t>
      </w:r>
      <w:proofErr w:type="spellEnd"/>
      <w:r w:rsidRPr="009D3C6B">
        <w:rPr>
          <w:lang w:val="id-ID"/>
        </w:rPr>
        <w:t xml:space="preserve"> kabupaten/kota di provinsi Nusa Tenggara Timur </w:t>
      </w:r>
      <w:proofErr w:type="spellStart"/>
      <w:r w:rsidRPr="009D3C6B">
        <w:t>perlu</w:t>
      </w:r>
      <w:proofErr w:type="spellEnd"/>
      <w:r w:rsidRPr="009D3C6B">
        <w:t xml:space="preserve">  </w:t>
      </w:r>
      <w:proofErr w:type="spellStart"/>
      <w:r w:rsidRPr="009D3C6B">
        <w:t>dikembangkan</w:t>
      </w:r>
      <w:proofErr w:type="spellEnd"/>
      <w:r w:rsidRPr="009D3C6B">
        <w:t xml:space="preserve"> </w:t>
      </w:r>
      <w:r w:rsidRPr="009D3C6B">
        <w:rPr>
          <w:lang w:val="id-ID"/>
        </w:rPr>
        <w:t xml:space="preserve"> sesuai  potensi  </w:t>
      </w:r>
      <w:r w:rsidR="00001BC5" w:rsidRPr="009D3C6B">
        <w:rPr>
          <w:lang w:val="id-ID"/>
        </w:rPr>
        <w:t xml:space="preserve">yang dimiliki oleh  masing masing daerah agar </w:t>
      </w:r>
      <w:r w:rsidRPr="009D3C6B">
        <w:rPr>
          <w:lang w:val="id-ID"/>
        </w:rPr>
        <w:t xml:space="preserve"> dapat </w:t>
      </w:r>
      <w:proofErr w:type="spellStart"/>
      <w:r w:rsidRPr="009D3C6B">
        <w:t>memberikan</w:t>
      </w:r>
      <w:proofErr w:type="spellEnd"/>
      <w:r w:rsidRPr="009D3C6B">
        <w:t xml:space="preserve">  </w:t>
      </w:r>
      <w:proofErr w:type="spellStart"/>
      <w:r w:rsidRPr="009D3C6B">
        <w:t>kontribusi</w:t>
      </w:r>
      <w:proofErr w:type="spellEnd"/>
      <w:r w:rsidRPr="009D3C6B">
        <w:t xml:space="preserve">  </w:t>
      </w:r>
      <w:proofErr w:type="spellStart"/>
      <w:r w:rsidRPr="009D3C6B">
        <w:t>ekonomi</w:t>
      </w:r>
      <w:proofErr w:type="spellEnd"/>
      <w:r w:rsidRPr="009D3C6B">
        <w:t xml:space="preserve">  yang </w:t>
      </w:r>
      <w:proofErr w:type="spellStart"/>
      <w:r w:rsidRPr="009D3C6B">
        <w:t>signifikan</w:t>
      </w:r>
      <w:proofErr w:type="spellEnd"/>
      <w:r w:rsidRPr="009D3C6B">
        <w:rPr>
          <w:lang w:val="id-ID"/>
        </w:rPr>
        <w:t>,</w:t>
      </w:r>
      <w:r w:rsidRPr="009D3C6B">
        <w:t xml:space="preserve"> </w:t>
      </w:r>
      <w:proofErr w:type="spellStart"/>
      <w:r w:rsidRPr="009D3C6B">
        <w:t>menciptakan</w:t>
      </w:r>
      <w:proofErr w:type="spellEnd"/>
      <w:r w:rsidRPr="009D3C6B">
        <w:t xml:space="preserve">  </w:t>
      </w:r>
      <w:proofErr w:type="spellStart"/>
      <w:r w:rsidRPr="009D3C6B">
        <w:t>iklim</w:t>
      </w:r>
      <w:proofErr w:type="spellEnd"/>
      <w:r w:rsidRPr="009D3C6B">
        <w:t xml:space="preserve">  </w:t>
      </w:r>
      <w:proofErr w:type="spellStart"/>
      <w:r w:rsidRPr="009D3C6B">
        <w:t>bisnis</w:t>
      </w:r>
      <w:proofErr w:type="spellEnd"/>
      <w:r w:rsidRPr="009D3C6B">
        <w:t xml:space="preserve">  yang  </w:t>
      </w:r>
      <w:proofErr w:type="spellStart"/>
      <w:r w:rsidRPr="009D3C6B">
        <w:t>positif</w:t>
      </w:r>
      <w:proofErr w:type="spellEnd"/>
      <w:r w:rsidRPr="009D3C6B">
        <w:rPr>
          <w:lang w:val="id-ID"/>
        </w:rPr>
        <w:t>,</w:t>
      </w:r>
      <w:r w:rsidRPr="009D3C6B">
        <w:t xml:space="preserve">  </w:t>
      </w:r>
      <w:proofErr w:type="spellStart"/>
      <w:r w:rsidRPr="009D3C6B">
        <w:t>membangun</w:t>
      </w:r>
      <w:proofErr w:type="spellEnd"/>
      <w:r w:rsidRPr="009D3C6B">
        <w:t xml:space="preserve">  </w:t>
      </w:r>
      <w:proofErr w:type="spellStart"/>
      <w:r w:rsidRPr="009D3C6B">
        <w:t>citra</w:t>
      </w:r>
      <w:proofErr w:type="spellEnd"/>
      <w:r w:rsidRPr="009D3C6B">
        <w:t xml:space="preserve">  </w:t>
      </w:r>
      <w:proofErr w:type="spellStart"/>
      <w:r w:rsidRPr="009D3C6B">
        <w:t>dan</w:t>
      </w:r>
      <w:proofErr w:type="spellEnd"/>
      <w:r w:rsidRPr="009D3C6B">
        <w:t xml:space="preserve">  </w:t>
      </w:r>
      <w:proofErr w:type="spellStart"/>
      <w:r w:rsidRPr="009D3C6B">
        <w:t>identitas</w:t>
      </w:r>
      <w:proofErr w:type="spellEnd"/>
      <w:r w:rsidRPr="009D3C6B">
        <w:t xml:space="preserve"> </w:t>
      </w:r>
      <w:r w:rsidRPr="009D3C6B">
        <w:rPr>
          <w:lang w:val="id-ID"/>
        </w:rPr>
        <w:t xml:space="preserve">wilayah </w:t>
      </w:r>
      <w:proofErr w:type="spellStart"/>
      <w:r w:rsidRPr="009D3C6B">
        <w:t>berbasis</w:t>
      </w:r>
      <w:proofErr w:type="spellEnd"/>
      <w:r w:rsidRPr="009D3C6B">
        <w:t xml:space="preserve">  </w:t>
      </w:r>
      <w:proofErr w:type="spellStart"/>
      <w:r w:rsidRPr="009D3C6B">
        <w:t>pada</w:t>
      </w:r>
      <w:proofErr w:type="spellEnd"/>
      <w:r w:rsidRPr="009D3C6B">
        <w:t xml:space="preserve">  </w:t>
      </w:r>
      <w:proofErr w:type="spellStart"/>
      <w:r w:rsidRPr="009D3C6B">
        <w:t>sumberdaya</w:t>
      </w:r>
      <w:proofErr w:type="spellEnd"/>
      <w:r w:rsidRPr="009D3C6B">
        <w:t xml:space="preserve">  yang  </w:t>
      </w:r>
      <w:proofErr w:type="spellStart"/>
      <w:r w:rsidRPr="009D3C6B">
        <w:t>merupakan</w:t>
      </w:r>
      <w:proofErr w:type="spellEnd"/>
      <w:r w:rsidRPr="009D3C6B">
        <w:t xml:space="preserve">  </w:t>
      </w:r>
      <w:proofErr w:type="spellStart"/>
      <w:r w:rsidRPr="009D3C6B">
        <w:t>keunggulan</w:t>
      </w:r>
      <w:proofErr w:type="spellEnd"/>
      <w:r w:rsidRPr="009D3C6B">
        <w:t xml:space="preserve">  </w:t>
      </w:r>
      <w:proofErr w:type="spellStart"/>
      <w:r w:rsidRPr="009D3C6B">
        <w:t>kompetitif</w:t>
      </w:r>
      <w:proofErr w:type="spellEnd"/>
      <w:r w:rsidRPr="009D3C6B">
        <w:t xml:space="preserve">  </w:t>
      </w:r>
      <w:r w:rsidR="00001BC5" w:rsidRPr="009D3C6B">
        <w:rPr>
          <w:lang w:val="id-ID"/>
        </w:rPr>
        <w:t xml:space="preserve">yang dapat </w:t>
      </w:r>
      <w:r w:rsidRPr="009D3C6B">
        <w:t xml:space="preserve">  </w:t>
      </w:r>
      <w:proofErr w:type="spellStart"/>
      <w:r w:rsidRPr="009D3C6B">
        <w:t>memberikan</w:t>
      </w:r>
      <w:proofErr w:type="spellEnd"/>
      <w:r w:rsidRPr="009D3C6B">
        <w:t xml:space="preserve"> </w:t>
      </w:r>
      <w:proofErr w:type="spellStart"/>
      <w:r w:rsidRPr="009D3C6B">
        <w:t>dampak</w:t>
      </w:r>
      <w:proofErr w:type="spellEnd"/>
      <w:r w:rsidRPr="009D3C6B">
        <w:t xml:space="preserve"> </w:t>
      </w:r>
      <w:r w:rsidRPr="009D3C6B">
        <w:rPr>
          <w:lang w:val="id-ID"/>
        </w:rPr>
        <w:t xml:space="preserve">ekonomi  dan </w:t>
      </w:r>
      <w:proofErr w:type="spellStart"/>
      <w:r w:rsidRPr="009D3C6B">
        <w:t>sosial</w:t>
      </w:r>
      <w:proofErr w:type="spellEnd"/>
      <w:r w:rsidRPr="009D3C6B">
        <w:t xml:space="preserve"> yang </w:t>
      </w:r>
      <w:proofErr w:type="spellStart"/>
      <w:r w:rsidRPr="009D3C6B">
        <w:t>positif</w:t>
      </w:r>
      <w:proofErr w:type="spellEnd"/>
      <w:r w:rsidRPr="009D3C6B">
        <w:t xml:space="preserve">. </w:t>
      </w:r>
      <w:proofErr w:type="spellStart"/>
      <w:r w:rsidRPr="009D3C6B">
        <w:t>Pe</w:t>
      </w:r>
      <w:proofErr w:type="spellEnd"/>
      <w:r w:rsidRPr="009D3C6B">
        <w:rPr>
          <w:lang w:val="id-ID"/>
        </w:rPr>
        <w:t>mbangunan dan pengembangan</w:t>
      </w:r>
      <w:r w:rsidRPr="009D3C6B">
        <w:t xml:space="preserve">  </w:t>
      </w:r>
      <w:proofErr w:type="spellStart"/>
      <w:r w:rsidRPr="009D3C6B">
        <w:t>ekonomi</w:t>
      </w:r>
      <w:proofErr w:type="spellEnd"/>
      <w:r w:rsidRPr="009D3C6B">
        <w:t xml:space="preserve"> </w:t>
      </w:r>
      <w:r w:rsidRPr="009D3C6B">
        <w:rPr>
          <w:lang w:val="id-ID"/>
        </w:rPr>
        <w:t xml:space="preserve"> lokal</w:t>
      </w:r>
      <w:r w:rsidRPr="009D3C6B">
        <w:t xml:space="preserve">  di Pro</w:t>
      </w:r>
      <w:r w:rsidRPr="009D3C6B">
        <w:rPr>
          <w:lang w:val="id-ID"/>
        </w:rPr>
        <w:t>v</w:t>
      </w:r>
      <w:proofErr w:type="spellStart"/>
      <w:r w:rsidRPr="009D3C6B">
        <w:t>insi</w:t>
      </w:r>
      <w:proofErr w:type="spellEnd"/>
      <w:r w:rsidRPr="009D3C6B">
        <w:t xml:space="preserve">  Nusa Tenggara </w:t>
      </w:r>
      <w:proofErr w:type="spellStart"/>
      <w:r w:rsidRPr="009D3C6B">
        <w:t>Timur</w:t>
      </w:r>
      <w:proofErr w:type="spellEnd"/>
      <w:r w:rsidRPr="009D3C6B">
        <w:t xml:space="preserve"> </w:t>
      </w:r>
      <w:r w:rsidRPr="009D3C6B">
        <w:rPr>
          <w:lang w:val="id-ID"/>
        </w:rPr>
        <w:t xml:space="preserve">berbasis potensi  lokal dan karakteristik wilayah </w:t>
      </w:r>
      <w:proofErr w:type="spellStart"/>
      <w:r w:rsidRPr="009D3C6B">
        <w:t>sangat</w:t>
      </w:r>
      <w:proofErr w:type="spellEnd"/>
      <w:r w:rsidRPr="009D3C6B">
        <w:t xml:space="preserve"> </w:t>
      </w:r>
      <w:proofErr w:type="spellStart"/>
      <w:r w:rsidRPr="009D3C6B">
        <w:t>diperlukan</w:t>
      </w:r>
      <w:proofErr w:type="spellEnd"/>
      <w:r w:rsidRPr="009D3C6B">
        <w:t xml:space="preserve"> </w:t>
      </w:r>
      <w:proofErr w:type="spellStart"/>
      <w:r w:rsidRPr="009D3C6B">
        <w:t>untuk</w:t>
      </w:r>
      <w:proofErr w:type="spellEnd"/>
      <w:r w:rsidRPr="009D3C6B">
        <w:t xml:space="preserve"> </w:t>
      </w:r>
      <w:proofErr w:type="spellStart"/>
      <w:r w:rsidRPr="009D3C6B">
        <w:t>menjawab</w:t>
      </w:r>
      <w:proofErr w:type="spellEnd"/>
      <w:r w:rsidRPr="009D3C6B">
        <w:t xml:space="preserve">  </w:t>
      </w:r>
      <w:proofErr w:type="spellStart"/>
      <w:r w:rsidRPr="009D3C6B">
        <w:t>tantangan</w:t>
      </w:r>
      <w:proofErr w:type="spellEnd"/>
      <w:r w:rsidRPr="009D3C6B">
        <w:t xml:space="preserve"> </w:t>
      </w:r>
      <w:r w:rsidRPr="009D3C6B">
        <w:rPr>
          <w:lang w:val="id-ID"/>
        </w:rPr>
        <w:t xml:space="preserve">dan </w:t>
      </w:r>
      <w:proofErr w:type="spellStart"/>
      <w:r w:rsidRPr="009D3C6B">
        <w:t>permasalahan</w:t>
      </w:r>
      <w:proofErr w:type="spellEnd"/>
      <w:r w:rsidRPr="009D3C6B">
        <w:t xml:space="preserve">  </w:t>
      </w:r>
      <w:proofErr w:type="spellStart"/>
      <w:r w:rsidRPr="009D3C6B">
        <w:t>pembangunan</w:t>
      </w:r>
      <w:proofErr w:type="spellEnd"/>
      <w:r w:rsidRPr="009D3C6B">
        <w:rPr>
          <w:lang w:val="id-ID"/>
        </w:rPr>
        <w:t xml:space="preserve"> era milenial  saat ini</w:t>
      </w:r>
      <w:r w:rsidR="00477F24" w:rsidRPr="009D3C6B">
        <w:t xml:space="preserve">, </w:t>
      </w:r>
      <w:r w:rsidRPr="009D3C6B">
        <w:t xml:space="preserve"> </w:t>
      </w:r>
      <w:r w:rsidR="00477F24" w:rsidRPr="009D3C6B">
        <w:rPr>
          <w:lang w:val="id-ID"/>
        </w:rPr>
        <w:t xml:space="preserve">untuk  peningkatan </w:t>
      </w:r>
      <w:r w:rsidRPr="009D3C6B">
        <w:rPr>
          <w:lang w:val="id-ID"/>
        </w:rPr>
        <w:t xml:space="preserve">Pendapatan  Domestik  Bruto (PDRB) </w:t>
      </w:r>
      <w:r w:rsidR="00477F24" w:rsidRPr="009D3C6B">
        <w:rPr>
          <w:lang w:val="id-ID"/>
        </w:rPr>
        <w:t xml:space="preserve"> dan pertumbuhan Ekonomi </w:t>
      </w:r>
      <w:r w:rsidRPr="009D3C6B">
        <w:rPr>
          <w:lang w:val="id-ID"/>
        </w:rPr>
        <w:t xml:space="preserve">masing- masing  kabupaten/kota </w:t>
      </w:r>
      <w:r w:rsidRPr="009D3C6B">
        <w:t xml:space="preserve">yang  </w:t>
      </w:r>
      <w:proofErr w:type="spellStart"/>
      <w:r w:rsidRPr="009D3C6B">
        <w:t>relatif</w:t>
      </w:r>
      <w:proofErr w:type="spellEnd"/>
      <w:r w:rsidRPr="009D3C6B">
        <w:t xml:space="preserve"> </w:t>
      </w:r>
      <w:r w:rsidRPr="009D3C6B">
        <w:rPr>
          <w:lang w:val="id-ID"/>
        </w:rPr>
        <w:t xml:space="preserve"> </w:t>
      </w:r>
      <w:proofErr w:type="spellStart"/>
      <w:r w:rsidRPr="009D3C6B">
        <w:t>konstan</w:t>
      </w:r>
      <w:proofErr w:type="spellEnd"/>
      <w:r w:rsidRPr="009D3C6B">
        <w:t xml:space="preserve">  </w:t>
      </w:r>
      <w:proofErr w:type="spellStart"/>
      <w:r w:rsidRPr="009D3C6B">
        <w:t>atau</w:t>
      </w:r>
      <w:proofErr w:type="spellEnd"/>
      <w:r w:rsidRPr="009D3C6B">
        <w:t xml:space="preserve"> </w:t>
      </w:r>
      <w:proofErr w:type="spellStart"/>
      <w:r w:rsidRPr="009D3C6B">
        <w:t>bahkan</w:t>
      </w:r>
      <w:proofErr w:type="spellEnd"/>
      <w:r w:rsidRPr="009D3C6B">
        <w:t xml:space="preserve">  </w:t>
      </w:r>
      <w:proofErr w:type="spellStart"/>
      <w:r w:rsidRPr="009D3C6B">
        <w:t>cenderung</w:t>
      </w:r>
      <w:proofErr w:type="spellEnd"/>
      <w:r w:rsidRPr="009D3C6B">
        <w:t xml:space="preserve">  </w:t>
      </w:r>
      <w:proofErr w:type="spellStart"/>
      <w:r w:rsidRPr="009D3C6B">
        <w:t>rendah</w:t>
      </w:r>
      <w:proofErr w:type="spellEnd"/>
      <w:r w:rsidRPr="009D3C6B">
        <w:t xml:space="preserve">  </w:t>
      </w:r>
      <w:proofErr w:type="spellStart"/>
      <w:r w:rsidRPr="009D3C6B">
        <w:t>pasca</w:t>
      </w:r>
      <w:proofErr w:type="spellEnd"/>
      <w:r w:rsidRPr="009D3C6B">
        <w:t xml:space="preserve">  </w:t>
      </w:r>
      <w:proofErr w:type="spellStart"/>
      <w:r w:rsidRPr="009D3C6B">
        <w:t>krisis</w:t>
      </w:r>
      <w:proofErr w:type="spellEnd"/>
      <w:r w:rsidRPr="009D3C6B">
        <w:t xml:space="preserve">  </w:t>
      </w:r>
      <w:proofErr w:type="spellStart"/>
      <w:r w:rsidRPr="009D3C6B">
        <w:t>ekonomi</w:t>
      </w:r>
      <w:proofErr w:type="spellEnd"/>
      <w:r w:rsidRPr="009D3C6B">
        <w:t xml:space="preserve">, </w:t>
      </w:r>
      <w:proofErr w:type="spellStart"/>
      <w:r w:rsidRPr="009D3C6B">
        <w:t>tingkat</w:t>
      </w:r>
      <w:proofErr w:type="spellEnd"/>
      <w:r w:rsidRPr="009D3C6B">
        <w:t xml:space="preserve">  </w:t>
      </w:r>
      <w:proofErr w:type="spellStart"/>
      <w:r w:rsidRPr="009D3C6B">
        <w:t>kemiskinan</w:t>
      </w:r>
      <w:proofErr w:type="spellEnd"/>
      <w:r w:rsidRPr="009D3C6B">
        <w:t xml:space="preserve">  </w:t>
      </w:r>
      <w:proofErr w:type="spellStart"/>
      <w:r w:rsidRPr="009D3C6B">
        <w:t>dan</w:t>
      </w:r>
      <w:proofErr w:type="spellEnd"/>
      <w:r w:rsidRPr="009D3C6B">
        <w:t xml:space="preserve">  </w:t>
      </w:r>
      <w:proofErr w:type="spellStart"/>
      <w:r w:rsidRPr="009D3C6B">
        <w:t>pengangguran</w:t>
      </w:r>
      <w:proofErr w:type="spellEnd"/>
      <w:r w:rsidRPr="009D3C6B">
        <w:t xml:space="preserve">  yang  </w:t>
      </w:r>
      <w:proofErr w:type="spellStart"/>
      <w:r w:rsidRPr="009D3C6B">
        <w:t>masih</w:t>
      </w:r>
      <w:proofErr w:type="spellEnd"/>
      <w:r w:rsidRPr="009D3C6B">
        <w:t xml:space="preserve">  </w:t>
      </w:r>
      <w:proofErr w:type="spellStart"/>
      <w:r w:rsidRPr="009D3C6B">
        <w:t>tinggi</w:t>
      </w:r>
      <w:proofErr w:type="spellEnd"/>
      <w:r w:rsidRPr="009D3C6B">
        <w:t xml:space="preserve">,  </w:t>
      </w:r>
      <w:proofErr w:type="spellStart"/>
      <w:r w:rsidRPr="009D3C6B">
        <w:t>dan</w:t>
      </w:r>
      <w:proofErr w:type="spellEnd"/>
      <w:r w:rsidRPr="009D3C6B">
        <w:t xml:space="preserve">  </w:t>
      </w:r>
      <w:proofErr w:type="spellStart"/>
      <w:r w:rsidRPr="009D3C6B">
        <w:t>daya</w:t>
      </w:r>
      <w:proofErr w:type="spellEnd"/>
      <w:r w:rsidRPr="009D3C6B">
        <w:t xml:space="preserve">  </w:t>
      </w:r>
      <w:proofErr w:type="spellStart"/>
      <w:r w:rsidRPr="009D3C6B">
        <w:t>saing</w:t>
      </w:r>
      <w:proofErr w:type="spellEnd"/>
      <w:r w:rsidRPr="009D3C6B">
        <w:t xml:space="preserve">  </w:t>
      </w:r>
      <w:proofErr w:type="spellStart"/>
      <w:r w:rsidRPr="009D3C6B">
        <w:t>industri</w:t>
      </w:r>
      <w:proofErr w:type="spellEnd"/>
      <w:r w:rsidRPr="009D3C6B">
        <w:t xml:space="preserve"> yang  </w:t>
      </w:r>
      <w:proofErr w:type="spellStart"/>
      <w:r w:rsidRPr="009D3C6B">
        <w:t>masih</w:t>
      </w:r>
      <w:proofErr w:type="spellEnd"/>
      <w:r w:rsidRPr="009D3C6B">
        <w:t xml:space="preserve">  </w:t>
      </w:r>
      <w:proofErr w:type="spellStart"/>
      <w:r w:rsidRPr="009D3C6B">
        <w:t>rendah</w:t>
      </w:r>
      <w:proofErr w:type="spellEnd"/>
      <w:r w:rsidRPr="009D3C6B">
        <w:t xml:space="preserve">. </w:t>
      </w:r>
      <w:r w:rsidRPr="009D3C6B">
        <w:rPr>
          <w:lang w:val="id-ID"/>
        </w:rPr>
        <w:t xml:space="preserve">   Adapun   gambaran  kondisi   riil perekonomian  provinsi   Nusa  Tenggara  Timur  dapat  di lihat  pada  tabel  1.1. berikut :</w:t>
      </w:r>
    </w:p>
    <w:p w14:paraId="5857E757" w14:textId="77777777" w:rsidR="00D34032" w:rsidRPr="009D3C6B" w:rsidRDefault="00D34032" w:rsidP="00D34032">
      <w:pPr>
        <w:ind w:right="261"/>
        <w:jc w:val="center"/>
        <w:rPr>
          <w:b/>
          <w:lang w:val="id-ID"/>
        </w:rPr>
      </w:pPr>
    </w:p>
    <w:p w14:paraId="5F3A0E42" w14:textId="77777777" w:rsidR="00D34032" w:rsidRPr="009D3C6B" w:rsidRDefault="00314E97" w:rsidP="00D34032">
      <w:pPr>
        <w:ind w:right="261"/>
        <w:jc w:val="center"/>
        <w:rPr>
          <w:b/>
          <w:lang w:val="id-ID"/>
        </w:rPr>
      </w:pPr>
      <w:r w:rsidRPr="009D3C6B">
        <w:rPr>
          <w:b/>
          <w:lang w:val="id-ID"/>
        </w:rPr>
        <w:t xml:space="preserve">Tabel.1.1. Perkembangan  </w:t>
      </w:r>
      <w:r w:rsidR="00D34032" w:rsidRPr="009D3C6B">
        <w:rPr>
          <w:b/>
          <w:lang w:val="id-ID"/>
        </w:rPr>
        <w:t xml:space="preserve">Produk Domestik </w:t>
      </w:r>
      <w:r w:rsidRPr="009D3C6B">
        <w:rPr>
          <w:b/>
          <w:lang w:val="id-ID"/>
        </w:rPr>
        <w:t>Regional Bruto (PDRB)  kabupaten /kota    Provinsi  NTT berdasar</w:t>
      </w:r>
      <w:r w:rsidR="00477F24" w:rsidRPr="009D3C6B">
        <w:rPr>
          <w:b/>
          <w:lang w:val="id-ID"/>
        </w:rPr>
        <w:t xml:space="preserve">kan harga konstan  </w:t>
      </w:r>
    </w:p>
    <w:p w14:paraId="3EFAF18B" w14:textId="5141E98B" w:rsidR="00314E97" w:rsidRPr="009D3C6B" w:rsidRDefault="00477F24" w:rsidP="00D34032">
      <w:pPr>
        <w:ind w:right="261"/>
        <w:jc w:val="center"/>
        <w:rPr>
          <w:b/>
          <w:lang w:val="id-ID"/>
        </w:rPr>
      </w:pPr>
      <w:r w:rsidRPr="009D3C6B">
        <w:rPr>
          <w:b/>
          <w:lang w:val="id-ID"/>
        </w:rPr>
        <w:t>periode  2013</w:t>
      </w:r>
      <w:r w:rsidR="00314E97" w:rsidRPr="009D3C6B">
        <w:rPr>
          <w:b/>
          <w:lang w:val="id-ID"/>
        </w:rPr>
        <w:t>-2018. (dalam Jutaan  rupiah)</w:t>
      </w:r>
    </w:p>
    <w:p w14:paraId="07F30D10" w14:textId="77777777" w:rsidR="00D34032" w:rsidRPr="009D3C6B" w:rsidRDefault="00D34032" w:rsidP="00D34032">
      <w:pPr>
        <w:ind w:right="261"/>
        <w:jc w:val="center"/>
        <w:rPr>
          <w:b/>
          <w:lang w:val="id-ID"/>
        </w:rPr>
      </w:pPr>
    </w:p>
    <w:tbl>
      <w:tblPr>
        <w:tblW w:w="8460" w:type="dxa"/>
        <w:tblInd w:w="93" w:type="dxa"/>
        <w:tblLook w:val="04A0" w:firstRow="1" w:lastRow="0" w:firstColumn="1" w:lastColumn="0" w:noHBand="0" w:noVBand="1"/>
      </w:tblPr>
      <w:tblGrid>
        <w:gridCol w:w="453"/>
        <w:gridCol w:w="2092"/>
        <w:gridCol w:w="870"/>
        <w:gridCol w:w="870"/>
        <w:gridCol w:w="870"/>
        <w:gridCol w:w="870"/>
        <w:gridCol w:w="985"/>
        <w:gridCol w:w="890"/>
        <w:gridCol w:w="870"/>
      </w:tblGrid>
      <w:tr w:rsidR="00314E97" w:rsidRPr="009D3C6B" w14:paraId="3084082C" w14:textId="77777777" w:rsidTr="00477F24">
        <w:trPr>
          <w:trHeight w:val="315"/>
        </w:trPr>
        <w:tc>
          <w:tcPr>
            <w:tcW w:w="2380" w:type="dxa"/>
            <w:gridSpan w:val="2"/>
            <w:vMerge w:val="restart"/>
            <w:tcBorders>
              <w:top w:val="single" w:sz="8" w:space="0" w:color="auto"/>
              <w:left w:val="single" w:sz="8" w:space="0" w:color="auto"/>
              <w:bottom w:val="single" w:sz="8" w:space="0" w:color="000000"/>
              <w:right w:val="nil"/>
            </w:tcBorders>
            <w:shd w:val="clear" w:color="000000" w:fill="F2F2F2"/>
            <w:noWrap/>
            <w:vAlign w:val="center"/>
            <w:hideMark/>
          </w:tcPr>
          <w:p w14:paraId="3C114899" w14:textId="77777777" w:rsidR="00314E97" w:rsidRPr="009D3C6B" w:rsidRDefault="00314E97" w:rsidP="00D34032">
            <w:pPr>
              <w:jc w:val="center"/>
              <w:rPr>
                <w:b/>
                <w:bCs/>
                <w:lang w:val="id-ID" w:eastAsia="id-ID"/>
              </w:rPr>
            </w:pPr>
            <w:r w:rsidRPr="009D3C6B">
              <w:rPr>
                <w:b/>
                <w:bCs/>
                <w:lang w:val="id-ID" w:eastAsia="id-ID"/>
              </w:rPr>
              <w:t>KABUPATEN/KOTA</w:t>
            </w:r>
          </w:p>
        </w:tc>
        <w:tc>
          <w:tcPr>
            <w:tcW w:w="800" w:type="dxa"/>
            <w:tcBorders>
              <w:top w:val="single" w:sz="8" w:space="0" w:color="auto"/>
              <w:left w:val="nil"/>
              <w:bottom w:val="nil"/>
              <w:right w:val="nil"/>
            </w:tcBorders>
            <w:shd w:val="clear" w:color="000000" w:fill="F2F2F2"/>
            <w:noWrap/>
            <w:vAlign w:val="center"/>
            <w:hideMark/>
          </w:tcPr>
          <w:p w14:paraId="7E1AED05" w14:textId="77777777" w:rsidR="00314E97" w:rsidRPr="009D3C6B" w:rsidRDefault="00314E97" w:rsidP="00D34032">
            <w:pPr>
              <w:jc w:val="center"/>
              <w:rPr>
                <w:b/>
                <w:bCs/>
                <w:lang w:val="id-ID" w:eastAsia="id-ID"/>
              </w:rPr>
            </w:pPr>
            <w:r w:rsidRPr="009D3C6B">
              <w:rPr>
                <w:b/>
                <w:bCs/>
                <w:lang w:val="id-ID" w:eastAsia="id-ID"/>
              </w:rPr>
              <w:t> </w:t>
            </w:r>
          </w:p>
        </w:tc>
        <w:tc>
          <w:tcPr>
            <w:tcW w:w="5280" w:type="dxa"/>
            <w:gridSpan w:val="6"/>
            <w:tcBorders>
              <w:top w:val="single" w:sz="8" w:space="0" w:color="auto"/>
              <w:left w:val="single" w:sz="8" w:space="0" w:color="auto"/>
              <w:bottom w:val="single" w:sz="4" w:space="0" w:color="auto"/>
              <w:right w:val="single" w:sz="8" w:space="0" w:color="000000"/>
            </w:tcBorders>
            <w:shd w:val="clear" w:color="000000" w:fill="F2F2F2"/>
            <w:noWrap/>
            <w:vAlign w:val="center"/>
            <w:hideMark/>
          </w:tcPr>
          <w:p w14:paraId="6A03D80B" w14:textId="77777777" w:rsidR="00314E97" w:rsidRPr="009D3C6B" w:rsidRDefault="00314E97" w:rsidP="00D34032">
            <w:pPr>
              <w:jc w:val="center"/>
              <w:rPr>
                <w:b/>
                <w:bCs/>
                <w:lang w:val="id-ID" w:eastAsia="id-ID"/>
              </w:rPr>
            </w:pPr>
            <w:r w:rsidRPr="009D3C6B">
              <w:rPr>
                <w:b/>
                <w:bCs/>
                <w:lang w:val="id-ID" w:eastAsia="id-ID"/>
              </w:rPr>
              <w:t>T  a  h  u  n</w:t>
            </w:r>
          </w:p>
        </w:tc>
      </w:tr>
      <w:tr w:rsidR="00314E97" w:rsidRPr="009D3C6B" w14:paraId="7980AF60" w14:textId="77777777" w:rsidTr="00477F24">
        <w:trPr>
          <w:trHeight w:val="315"/>
        </w:trPr>
        <w:tc>
          <w:tcPr>
            <w:tcW w:w="2380" w:type="dxa"/>
            <w:gridSpan w:val="2"/>
            <w:vMerge/>
            <w:tcBorders>
              <w:top w:val="single" w:sz="8" w:space="0" w:color="auto"/>
              <w:left w:val="single" w:sz="8" w:space="0" w:color="auto"/>
              <w:bottom w:val="single" w:sz="8" w:space="0" w:color="000000"/>
              <w:right w:val="nil"/>
            </w:tcBorders>
            <w:vAlign w:val="center"/>
            <w:hideMark/>
          </w:tcPr>
          <w:p w14:paraId="543A4238" w14:textId="77777777" w:rsidR="00314E97" w:rsidRPr="009D3C6B" w:rsidRDefault="00314E97" w:rsidP="00D34032">
            <w:pPr>
              <w:rPr>
                <w:b/>
                <w:bCs/>
                <w:lang w:val="id-ID" w:eastAsia="id-ID"/>
              </w:rPr>
            </w:pPr>
          </w:p>
        </w:tc>
        <w:tc>
          <w:tcPr>
            <w:tcW w:w="800" w:type="dxa"/>
            <w:tcBorders>
              <w:top w:val="single" w:sz="8" w:space="0" w:color="auto"/>
              <w:left w:val="single" w:sz="8" w:space="0" w:color="auto"/>
              <w:bottom w:val="single" w:sz="8" w:space="0" w:color="auto"/>
              <w:right w:val="nil"/>
            </w:tcBorders>
            <w:shd w:val="clear" w:color="000000" w:fill="F2F2F2"/>
            <w:noWrap/>
            <w:vAlign w:val="center"/>
            <w:hideMark/>
          </w:tcPr>
          <w:p w14:paraId="5A0B4E10" w14:textId="77777777" w:rsidR="00314E97" w:rsidRPr="009D3C6B" w:rsidRDefault="00314E97" w:rsidP="00D34032">
            <w:pPr>
              <w:jc w:val="center"/>
              <w:rPr>
                <w:b/>
                <w:bCs/>
                <w:lang w:val="id-ID" w:eastAsia="id-ID"/>
              </w:rPr>
            </w:pPr>
            <w:r w:rsidRPr="009D3C6B">
              <w:rPr>
                <w:b/>
                <w:bCs/>
                <w:lang w:val="id-ID" w:eastAsia="id-ID"/>
              </w:rPr>
              <w:t>2013</w:t>
            </w:r>
          </w:p>
        </w:tc>
        <w:tc>
          <w:tcPr>
            <w:tcW w:w="848" w:type="dxa"/>
            <w:tcBorders>
              <w:top w:val="nil"/>
              <w:left w:val="single" w:sz="8" w:space="0" w:color="auto"/>
              <w:bottom w:val="single" w:sz="8" w:space="0" w:color="auto"/>
              <w:right w:val="single" w:sz="4" w:space="0" w:color="auto"/>
            </w:tcBorders>
            <w:shd w:val="clear" w:color="000000" w:fill="F2F2F2"/>
            <w:noWrap/>
            <w:vAlign w:val="bottom"/>
            <w:hideMark/>
          </w:tcPr>
          <w:p w14:paraId="7EBE8EFB" w14:textId="77777777" w:rsidR="00314E97" w:rsidRPr="009D3C6B" w:rsidRDefault="00314E97" w:rsidP="00D34032">
            <w:pPr>
              <w:jc w:val="center"/>
              <w:rPr>
                <w:b/>
                <w:bCs/>
                <w:lang w:val="id-ID" w:eastAsia="id-ID"/>
              </w:rPr>
            </w:pPr>
            <w:r w:rsidRPr="009D3C6B">
              <w:rPr>
                <w:b/>
                <w:bCs/>
                <w:lang w:val="id-ID" w:eastAsia="id-ID"/>
              </w:rPr>
              <w:t>2014</w:t>
            </w:r>
          </w:p>
        </w:tc>
        <w:tc>
          <w:tcPr>
            <w:tcW w:w="848" w:type="dxa"/>
            <w:tcBorders>
              <w:top w:val="nil"/>
              <w:left w:val="nil"/>
              <w:bottom w:val="single" w:sz="8" w:space="0" w:color="auto"/>
              <w:right w:val="single" w:sz="4" w:space="0" w:color="auto"/>
            </w:tcBorders>
            <w:shd w:val="clear" w:color="000000" w:fill="F2F2F2"/>
            <w:noWrap/>
            <w:vAlign w:val="bottom"/>
            <w:hideMark/>
          </w:tcPr>
          <w:p w14:paraId="6F8024D9" w14:textId="77777777" w:rsidR="00314E97" w:rsidRPr="009D3C6B" w:rsidRDefault="00314E97" w:rsidP="00D34032">
            <w:pPr>
              <w:jc w:val="center"/>
              <w:rPr>
                <w:b/>
                <w:bCs/>
                <w:lang w:val="id-ID" w:eastAsia="id-ID"/>
              </w:rPr>
            </w:pPr>
            <w:r w:rsidRPr="009D3C6B">
              <w:rPr>
                <w:b/>
                <w:bCs/>
                <w:lang w:val="id-ID" w:eastAsia="id-ID"/>
              </w:rPr>
              <w:t>2015</w:t>
            </w:r>
          </w:p>
        </w:tc>
        <w:tc>
          <w:tcPr>
            <w:tcW w:w="847" w:type="dxa"/>
            <w:tcBorders>
              <w:top w:val="nil"/>
              <w:left w:val="nil"/>
              <w:bottom w:val="single" w:sz="8" w:space="0" w:color="auto"/>
              <w:right w:val="single" w:sz="4" w:space="0" w:color="auto"/>
            </w:tcBorders>
            <w:shd w:val="clear" w:color="000000" w:fill="F2F2F2"/>
            <w:noWrap/>
            <w:vAlign w:val="bottom"/>
            <w:hideMark/>
          </w:tcPr>
          <w:p w14:paraId="221287CE" w14:textId="77777777" w:rsidR="00314E97" w:rsidRPr="009D3C6B" w:rsidRDefault="00314E97" w:rsidP="00D34032">
            <w:pPr>
              <w:jc w:val="center"/>
              <w:rPr>
                <w:b/>
                <w:bCs/>
                <w:lang w:val="id-ID" w:eastAsia="id-ID"/>
              </w:rPr>
            </w:pPr>
            <w:r w:rsidRPr="009D3C6B">
              <w:rPr>
                <w:b/>
                <w:bCs/>
                <w:lang w:val="id-ID" w:eastAsia="id-ID"/>
              </w:rPr>
              <w:t>2016</w:t>
            </w:r>
          </w:p>
        </w:tc>
        <w:tc>
          <w:tcPr>
            <w:tcW w:w="993" w:type="dxa"/>
            <w:tcBorders>
              <w:top w:val="nil"/>
              <w:left w:val="nil"/>
              <w:bottom w:val="single" w:sz="8" w:space="0" w:color="auto"/>
              <w:right w:val="nil"/>
            </w:tcBorders>
            <w:shd w:val="clear" w:color="000000" w:fill="F2F2F2"/>
            <w:noWrap/>
            <w:vAlign w:val="bottom"/>
            <w:hideMark/>
          </w:tcPr>
          <w:p w14:paraId="3BF09DC3" w14:textId="77777777" w:rsidR="00314E97" w:rsidRPr="009D3C6B" w:rsidRDefault="00314E97" w:rsidP="00D34032">
            <w:pPr>
              <w:jc w:val="center"/>
              <w:rPr>
                <w:b/>
                <w:bCs/>
                <w:lang w:val="id-ID" w:eastAsia="id-ID"/>
              </w:rPr>
            </w:pPr>
            <w:r w:rsidRPr="009D3C6B">
              <w:rPr>
                <w:b/>
                <w:bCs/>
                <w:lang w:val="id-ID" w:eastAsia="id-ID"/>
              </w:rPr>
              <w:t>2017</w:t>
            </w:r>
          </w:p>
        </w:tc>
        <w:tc>
          <w:tcPr>
            <w:tcW w:w="897" w:type="dxa"/>
            <w:tcBorders>
              <w:top w:val="nil"/>
              <w:left w:val="nil"/>
              <w:bottom w:val="single" w:sz="8" w:space="0" w:color="auto"/>
              <w:right w:val="single" w:sz="4" w:space="0" w:color="auto"/>
            </w:tcBorders>
            <w:shd w:val="clear" w:color="000000" w:fill="F2F2F2"/>
            <w:noWrap/>
            <w:vAlign w:val="bottom"/>
            <w:hideMark/>
          </w:tcPr>
          <w:p w14:paraId="18E116F6" w14:textId="77777777" w:rsidR="00314E97" w:rsidRPr="009D3C6B" w:rsidRDefault="00314E97" w:rsidP="00D34032">
            <w:pPr>
              <w:jc w:val="center"/>
              <w:rPr>
                <w:b/>
                <w:bCs/>
                <w:lang w:val="id-ID" w:eastAsia="id-ID"/>
              </w:rPr>
            </w:pPr>
            <w:r w:rsidRPr="009D3C6B">
              <w:rPr>
                <w:b/>
                <w:bCs/>
                <w:lang w:val="id-ID" w:eastAsia="id-ID"/>
              </w:rPr>
              <w:t>2018*</w:t>
            </w:r>
          </w:p>
        </w:tc>
        <w:tc>
          <w:tcPr>
            <w:tcW w:w="847" w:type="dxa"/>
            <w:tcBorders>
              <w:top w:val="nil"/>
              <w:left w:val="nil"/>
              <w:bottom w:val="single" w:sz="8" w:space="0" w:color="auto"/>
              <w:right w:val="single" w:sz="8" w:space="0" w:color="auto"/>
            </w:tcBorders>
            <w:shd w:val="clear" w:color="000000" w:fill="F2F2F2"/>
            <w:noWrap/>
            <w:vAlign w:val="bottom"/>
            <w:hideMark/>
          </w:tcPr>
          <w:p w14:paraId="0E3A9C09" w14:textId="77777777" w:rsidR="00314E97" w:rsidRPr="009D3C6B" w:rsidRDefault="00314E97" w:rsidP="00D34032">
            <w:pPr>
              <w:jc w:val="center"/>
              <w:rPr>
                <w:b/>
                <w:bCs/>
                <w:lang w:val="id-ID" w:eastAsia="id-ID"/>
              </w:rPr>
            </w:pPr>
            <w:r w:rsidRPr="009D3C6B">
              <w:rPr>
                <w:b/>
                <w:bCs/>
                <w:lang w:val="id-ID" w:eastAsia="id-ID"/>
              </w:rPr>
              <w:t>Rata2</w:t>
            </w:r>
          </w:p>
        </w:tc>
      </w:tr>
      <w:tr w:rsidR="00314E97" w:rsidRPr="009D3C6B" w14:paraId="107ECE36"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58D4F939" w14:textId="77777777" w:rsidR="00314E97" w:rsidRPr="009D3C6B" w:rsidRDefault="00314E97" w:rsidP="00D34032">
            <w:pPr>
              <w:jc w:val="center"/>
              <w:rPr>
                <w:lang w:val="id-ID" w:eastAsia="id-ID"/>
              </w:rPr>
            </w:pPr>
            <w:r w:rsidRPr="009D3C6B">
              <w:rPr>
                <w:lang w:val="id-ID" w:eastAsia="id-ID"/>
              </w:rPr>
              <w:t>1</w:t>
            </w:r>
          </w:p>
        </w:tc>
        <w:tc>
          <w:tcPr>
            <w:tcW w:w="2111" w:type="dxa"/>
            <w:tcBorders>
              <w:top w:val="nil"/>
              <w:left w:val="nil"/>
              <w:bottom w:val="single" w:sz="4" w:space="0" w:color="auto"/>
              <w:right w:val="single" w:sz="8" w:space="0" w:color="auto"/>
            </w:tcBorders>
            <w:shd w:val="clear" w:color="auto" w:fill="auto"/>
            <w:noWrap/>
            <w:vAlign w:val="bottom"/>
            <w:hideMark/>
          </w:tcPr>
          <w:p w14:paraId="7D69E994" w14:textId="77777777" w:rsidR="00314E97" w:rsidRPr="009D3C6B" w:rsidRDefault="00314E97" w:rsidP="00D34032">
            <w:pPr>
              <w:rPr>
                <w:lang w:val="id-ID" w:eastAsia="id-ID"/>
              </w:rPr>
            </w:pPr>
            <w:r w:rsidRPr="009D3C6B">
              <w:rPr>
                <w:lang w:val="id-ID" w:eastAsia="id-ID"/>
              </w:rPr>
              <w:t>Sumba  Barat</w:t>
            </w:r>
          </w:p>
        </w:tc>
        <w:tc>
          <w:tcPr>
            <w:tcW w:w="800" w:type="dxa"/>
            <w:tcBorders>
              <w:top w:val="nil"/>
              <w:left w:val="nil"/>
              <w:bottom w:val="single" w:sz="4" w:space="0" w:color="auto"/>
              <w:right w:val="nil"/>
            </w:tcBorders>
            <w:shd w:val="clear" w:color="auto" w:fill="auto"/>
            <w:noWrap/>
            <w:vAlign w:val="bottom"/>
            <w:hideMark/>
          </w:tcPr>
          <w:p w14:paraId="6332C5DB" w14:textId="77777777" w:rsidR="00314E97" w:rsidRPr="009D3C6B" w:rsidRDefault="00314E97" w:rsidP="00D34032">
            <w:pPr>
              <w:rPr>
                <w:lang w:val="id-ID" w:eastAsia="id-ID"/>
              </w:rPr>
            </w:pPr>
            <w:r w:rsidRPr="009D3C6B">
              <w:rPr>
                <w:lang w:val="id-ID" w:eastAsia="id-ID"/>
              </w:rPr>
              <w:t xml:space="preserve">    1.078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2DDD3C66" w14:textId="77777777" w:rsidR="00314E97" w:rsidRPr="009D3C6B" w:rsidRDefault="00314E97" w:rsidP="00D34032">
            <w:pPr>
              <w:jc w:val="right"/>
              <w:rPr>
                <w:lang w:val="id-ID" w:eastAsia="id-ID"/>
              </w:rPr>
            </w:pPr>
            <w:r w:rsidRPr="009D3C6B">
              <w:rPr>
                <w:lang w:val="id-ID" w:eastAsia="id-ID"/>
              </w:rPr>
              <w:t>1.129</w:t>
            </w:r>
          </w:p>
        </w:tc>
        <w:tc>
          <w:tcPr>
            <w:tcW w:w="848" w:type="dxa"/>
            <w:tcBorders>
              <w:top w:val="nil"/>
              <w:left w:val="nil"/>
              <w:bottom w:val="single" w:sz="4" w:space="0" w:color="auto"/>
              <w:right w:val="nil"/>
            </w:tcBorders>
            <w:shd w:val="clear" w:color="auto" w:fill="auto"/>
            <w:noWrap/>
            <w:vAlign w:val="bottom"/>
            <w:hideMark/>
          </w:tcPr>
          <w:p w14:paraId="1B62E6BB" w14:textId="77777777" w:rsidR="00314E97" w:rsidRPr="009D3C6B" w:rsidRDefault="00314E97" w:rsidP="00D34032">
            <w:pPr>
              <w:jc w:val="right"/>
              <w:rPr>
                <w:lang w:val="id-ID" w:eastAsia="id-ID"/>
              </w:rPr>
            </w:pPr>
            <w:r w:rsidRPr="009D3C6B">
              <w:rPr>
                <w:lang w:val="id-ID" w:eastAsia="id-ID"/>
              </w:rPr>
              <w:t>1.183</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3C3A46F6" w14:textId="77777777" w:rsidR="00314E97" w:rsidRPr="009D3C6B" w:rsidRDefault="00314E97" w:rsidP="00D34032">
            <w:pPr>
              <w:jc w:val="right"/>
              <w:rPr>
                <w:lang w:val="id-ID" w:eastAsia="id-ID"/>
              </w:rPr>
            </w:pPr>
            <w:r w:rsidRPr="009D3C6B">
              <w:rPr>
                <w:lang w:val="id-ID" w:eastAsia="id-ID"/>
              </w:rPr>
              <w:t>1.243</w:t>
            </w:r>
          </w:p>
        </w:tc>
        <w:tc>
          <w:tcPr>
            <w:tcW w:w="993" w:type="dxa"/>
            <w:tcBorders>
              <w:top w:val="nil"/>
              <w:left w:val="nil"/>
              <w:bottom w:val="single" w:sz="4" w:space="0" w:color="auto"/>
              <w:right w:val="nil"/>
            </w:tcBorders>
            <w:shd w:val="clear" w:color="auto" w:fill="auto"/>
            <w:noWrap/>
            <w:vAlign w:val="bottom"/>
            <w:hideMark/>
          </w:tcPr>
          <w:p w14:paraId="22C11998" w14:textId="77777777" w:rsidR="00314E97" w:rsidRPr="009D3C6B" w:rsidRDefault="00314E97" w:rsidP="00D34032">
            <w:pPr>
              <w:rPr>
                <w:lang w:val="id-ID" w:eastAsia="id-ID"/>
              </w:rPr>
            </w:pPr>
            <w:r w:rsidRPr="009D3C6B">
              <w:rPr>
                <w:lang w:val="id-ID" w:eastAsia="id-ID"/>
              </w:rPr>
              <w:t xml:space="preserve">    1.305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64FFA7F8" w14:textId="77777777" w:rsidR="00314E97" w:rsidRPr="009D3C6B" w:rsidRDefault="00314E97" w:rsidP="00D34032">
            <w:pPr>
              <w:rPr>
                <w:lang w:val="id-ID" w:eastAsia="id-ID"/>
              </w:rPr>
            </w:pPr>
            <w:r w:rsidRPr="009D3C6B">
              <w:rPr>
                <w:lang w:val="id-ID" w:eastAsia="id-ID"/>
              </w:rPr>
              <w:t xml:space="preserve">    1.358 </w:t>
            </w:r>
          </w:p>
        </w:tc>
        <w:tc>
          <w:tcPr>
            <w:tcW w:w="847" w:type="dxa"/>
            <w:tcBorders>
              <w:top w:val="nil"/>
              <w:left w:val="nil"/>
              <w:bottom w:val="single" w:sz="4" w:space="0" w:color="auto"/>
              <w:right w:val="single" w:sz="8" w:space="0" w:color="auto"/>
            </w:tcBorders>
            <w:shd w:val="clear" w:color="auto" w:fill="auto"/>
            <w:noWrap/>
            <w:vAlign w:val="bottom"/>
            <w:hideMark/>
          </w:tcPr>
          <w:p w14:paraId="3EDBC76F" w14:textId="77777777" w:rsidR="00314E97" w:rsidRPr="009D3C6B" w:rsidRDefault="00314E97" w:rsidP="00D34032">
            <w:pPr>
              <w:jc w:val="center"/>
              <w:rPr>
                <w:lang w:val="id-ID" w:eastAsia="id-ID"/>
              </w:rPr>
            </w:pPr>
            <w:r w:rsidRPr="009D3C6B">
              <w:rPr>
                <w:lang w:val="id-ID" w:eastAsia="id-ID"/>
              </w:rPr>
              <w:t>1.216</w:t>
            </w:r>
          </w:p>
        </w:tc>
      </w:tr>
      <w:tr w:rsidR="00314E97" w:rsidRPr="009D3C6B" w14:paraId="752B0BEE"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6BB99BC5" w14:textId="77777777" w:rsidR="00314E97" w:rsidRPr="009D3C6B" w:rsidRDefault="00314E97" w:rsidP="00D34032">
            <w:pPr>
              <w:jc w:val="center"/>
              <w:rPr>
                <w:lang w:val="id-ID" w:eastAsia="id-ID"/>
              </w:rPr>
            </w:pPr>
            <w:r w:rsidRPr="009D3C6B">
              <w:rPr>
                <w:lang w:val="id-ID" w:eastAsia="id-ID"/>
              </w:rPr>
              <w:t>2</w:t>
            </w:r>
          </w:p>
        </w:tc>
        <w:tc>
          <w:tcPr>
            <w:tcW w:w="2111" w:type="dxa"/>
            <w:tcBorders>
              <w:top w:val="nil"/>
              <w:left w:val="nil"/>
              <w:bottom w:val="single" w:sz="4" w:space="0" w:color="auto"/>
              <w:right w:val="single" w:sz="8" w:space="0" w:color="auto"/>
            </w:tcBorders>
            <w:shd w:val="clear" w:color="auto" w:fill="auto"/>
            <w:noWrap/>
            <w:vAlign w:val="bottom"/>
            <w:hideMark/>
          </w:tcPr>
          <w:p w14:paraId="4A99D093" w14:textId="77777777" w:rsidR="00314E97" w:rsidRPr="009D3C6B" w:rsidRDefault="00314E97" w:rsidP="00D34032">
            <w:pPr>
              <w:rPr>
                <w:lang w:val="id-ID" w:eastAsia="id-ID"/>
              </w:rPr>
            </w:pPr>
            <w:r w:rsidRPr="009D3C6B">
              <w:rPr>
                <w:lang w:val="id-ID" w:eastAsia="id-ID"/>
              </w:rPr>
              <w:t>Sumba Timur</w:t>
            </w:r>
          </w:p>
        </w:tc>
        <w:tc>
          <w:tcPr>
            <w:tcW w:w="800" w:type="dxa"/>
            <w:tcBorders>
              <w:top w:val="nil"/>
              <w:left w:val="nil"/>
              <w:bottom w:val="single" w:sz="4" w:space="0" w:color="auto"/>
              <w:right w:val="nil"/>
            </w:tcBorders>
            <w:shd w:val="clear" w:color="auto" w:fill="auto"/>
            <w:noWrap/>
            <w:vAlign w:val="bottom"/>
            <w:hideMark/>
          </w:tcPr>
          <w:p w14:paraId="09E3628F" w14:textId="77777777" w:rsidR="00314E97" w:rsidRPr="009D3C6B" w:rsidRDefault="00314E97" w:rsidP="00D34032">
            <w:pPr>
              <w:rPr>
                <w:lang w:val="id-ID" w:eastAsia="id-ID"/>
              </w:rPr>
            </w:pPr>
            <w:r w:rsidRPr="009D3C6B">
              <w:rPr>
                <w:lang w:val="id-ID" w:eastAsia="id-ID"/>
              </w:rPr>
              <w:t xml:space="preserve">    2.970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7348C28A" w14:textId="77777777" w:rsidR="00314E97" w:rsidRPr="009D3C6B" w:rsidRDefault="00314E97" w:rsidP="00D34032">
            <w:pPr>
              <w:jc w:val="right"/>
              <w:rPr>
                <w:lang w:val="id-ID" w:eastAsia="id-ID"/>
              </w:rPr>
            </w:pPr>
            <w:r w:rsidRPr="009D3C6B">
              <w:rPr>
                <w:lang w:val="id-ID" w:eastAsia="id-ID"/>
              </w:rPr>
              <w:t>3.118</w:t>
            </w:r>
          </w:p>
        </w:tc>
        <w:tc>
          <w:tcPr>
            <w:tcW w:w="848" w:type="dxa"/>
            <w:tcBorders>
              <w:top w:val="single" w:sz="4" w:space="0" w:color="auto"/>
              <w:left w:val="nil"/>
              <w:bottom w:val="single" w:sz="4" w:space="0" w:color="auto"/>
              <w:right w:val="nil"/>
            </w:tcBorders>
            <w:shd w:val="clear" w:color="auto" w:fill="auto"/>
            <w:noWrap/>
            <w:vAlign w:val="bottom"/>
            <w:hideMark/>
          </w:tcPr>
          <w:p w14:paraId="495C29FC" w14:textId="77777777" w:rsidR="00314E97" w:rsidRPr="009D3C6B" w:rsidRDefault="00314E97" w:rsidP="00D34032">
            <w:pPr>
              <w:jc w:val="right"/>
              <w:rPr>
                <w:lang w:val="id-ID" w:eastAsia="id-ID"/>
              </w:rPr>
            </w:pPr>
            <w:r w:rsidRPr="009D3C6B">
              <w:rPr>
                <w:lang w:val="id-ID" w:eastAsia="id-ID"/>
              </w:rPr>
              <w:t>3.275</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6FC37A24" w14:textId="77777777" w:rsidR="00314E97" w:rsidRPr="009D3C6B" w:rsidRDefault="00314E97" w:rsidP="00D34032">
            <w:pPr>
              <w:jc w:val="right"/>
              <w:rPr>
                <w:lang w:val="id-ID" w:eastAsia="id-ID"/>
              </w:rPr>
            </w:pPr>
            <w:r w:rsidRPr="009D3C6B">
              <w:rPr>
                <w:lang w:val="id-ID" w:eastAsia="id-ID"/>
              </w:rPr>
              <w:t>3.441</w:t>
            </w:r>
          </w:p>
        </w:tc>
        <w:tc>
          <w:tcPr>
            <w:tcW w:w="993" w:type="dxa"/>
            <w:tcBorders>
              <w:top w:val="nil"/>
              <w:left w:val="nil"/>
              <w:bottom w:val="single" w:sz="4" w:space="0" w:color="auto"/>
              <w:right w:val="nil"/>
            </w:tcBorders>
            <w:shd w:val="clear" w:color="auto" w:fill="auto"/>
            <w:noWrap/>
            <w:vAlign w:val="bottom"/>
            <w:hideMark/>
          </w:tcPr>
          <w:p w14:paraId="3931AFDD" w14:textId="77777777" w:rsidR="00314E97" w:rsidRPr="009D3C6B" w:rsidRDefault="00314E97" w:rsidP="00D34032">
            <w:pPr>
              <w:rPr>
                <w:lang w:val="id-ID" w:eastAsia="id-ID"/>
              </w:rPr>
            </w:pPr>
            <w:r w:rsidRPr="009D3C6B">
              <w:rPr>
                <w:lang w:val="id-ID" w:eastAsia="id-ID"/>
              </w:rPr>
              <w:t xml:space="preserve">    3.617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423483A2" w14:textId="77777777" w:rsidR="00314E97" w:rsidRPr="009D3C6B" w:rsidRDefault="00314E97" w:rsidP="00D34032">
            <w:pPr>
              <w:jc w:val="right"/>
              <w:rPr>
                <w:lang w:val="id-ID" w:eastAsia="id-ID"/>
              </w:rPr>
            </w:pPr>
            <w:r w:rsidRPr="009D3C6B">
              <w:rPr>
                <w:lang w:val="id-ID" w:eastAsia="id-ID"/>
              </w:rPr>
              <w:t>3.769</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73AAA93A" w14:textId="77777777" w:rsidR="00314E97" w:rsidRPr="009D3C6B" w:rsidRDefault="00314E97" w:rsidP="00D34032">
            <w:pPr>
              <w:jc w:val="center"/>
              <w:rPr>
                <w:lang w:val="id-ID" w:eastAsia="id-ID"/>
              </w:rPr>
            </w:pPr>
            <w:r w:rsidRPr="009D3C6B">
              <w:rPr>
                <w:lang w:val="id-ID" w:eastAsia="id-ID"/>
              </w:rPr>
              <w:t>3.365</w:t>
            </w:r>
          </w:p>
        </w:tc>
      </w:tr>
      <w:tr w:rsidR="00314E97" w:rsidRPr="009D3C6B" w14:paraId="2F8E96F9"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0F759F07" w14:textId="77777777" w:rsidR="00314E97" w:rsidRPr="009D3C6B" w:rsidRDefault="00314E97" w:rsidP="00D34032">
            <w:pPr>
              <w:jc w:val="center"/>
              <w:rPr>
                <w:lang w:val="id-ID" w:eastAsia="id-ID"/>
              </w:rPr>
            </w:pPr>
            <w:r w:rsidRPr="009D3C6B">
              <w:rPr>
                <w:lang w:val="id-ID" w:eastAsia="id-ID"/>
              </w:rPr>
              <w:lastRenderedPageBreak/>
              <w:t>3</w:t>
            </w:r>
          </w:p>
        </w:tc>
        <w:tc>
          <w:tcPr>
            <w:tcW w:w="2111" w:type="dxa"/>
            <w:tcBorders>
              <w:top w:val="nil"/>
              <w:left w:val="nil"/>
              <w:bottom w:val="single" w:sz="4" w:space="0" w:color="auto"/>
              <w:right w:val="single" w:sz="8" w:space="0" w:color="auto"/>
            </w:tcBorders>
            <w:shd w:val="clear" w:color="auto" w:fill="auto"/>
            <w:noWrap/>
            <w:vAlign w:val="bottom"/>
            <w:hideMark/>
          </w:tcPr>
          <w:p w14:paraId="2E6282DF" w14:textId="77777777" w:rsidR="00314E97" w:rsidRPr="009D3C6B" w:rsidRDefault="00314E97" w:rsidP="00D34032">
            <w:pPr>
              <w:rPr>
                <w:lang w:val="id-ID" w:eastAsia="id-ID"/>
              </w:rPr>
            </w:pPr>
            <w:r w:rsidRPr="009D3C6B">
              <w:rPr>
                <w:lang w:val="id-ID" w:eastAsia="id-ID"/>
              </w:rPr>
              <w:t>Kupang</w:t>
            </w:r>
          </w:p>
        </w:tc>
        <w:tc>
          <w:tcPr>
            <w:tcW w:w="800" w:type="dxa"/>
            <w:tcBorders>
              <w:top w:val="nil"/>
              <w:left w:val="nil"/>
              <w:bottom w:val="single" w:sz="4" w:space="0" w:color="auto"/>
              <w:right w:val="nil"/>
            </w:tcBorders>
            <w:shd w:val="clear" w:color="auto" w:fill="auto"/>
            <w:noWrap/>
            <w:vAlign w:val="bottom"/>
            <w:hideMark/>
          </w:tcPr>
          <w:p w14:paraId="144368C0" w14:textId="77777777" w:rsidR="00314E97" w:rsidRPr="009D3C6B" w:rsidRDefault="00314E97" w:rsidP="00D34032">
            <w:pPr>
              <w:rPr>
                <w:lang w:val="id-ID" w:eastAsia="id-ID"/>
              </w:rPr>
            </w:pPr>
            <w:r w:rsidRPr="009D3C6B">
              <w:rPr>
                <w:lang w:val="id-ID" w:eastAsia="id-ID"/>
              </w:rPr>
              <w:t xml:space="preserve">    3.595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79164904" w14:textId="77777777" w:rsidR="00314E97" w:rsidRPr="009D3C6B" w:rsidRDefault="00314E97" w:rsidP="00D34032">
            <w:pPr>
              <w:jc w:val="right"/>
              <w:rPr>
                <w:lang w:val="id-ID" w:eastAsia="id-ID"/>
              </w:rPr>
            </w:pPr>
            <w:r w:rsidRPr="009D3C6B">
              <w:rPr>
                <w:lang w:val="id-ID" w:eastAsia="id-ID"/>
              </w:rPr>
              <w:t>3.778</w:t>
            </w:r>
          </w:p>
        </w:tc>
        <w:tc>
          <w:tcPr>
            <w:tcW w:w="848" w:type="dxa"/>
            <w:tcBorders>
              <w:top w:val="nil"/>
              <w:left w:val="nil"/>
              <w:bottom w:val="single" w:sz="4" w:space="0" w:color="auto"/>
              <w:right w:val="nil"/>
            </w:tcBorders>
            <w:shd w:val="clear" w:color="auto" w:fill="auto"/>
            <w:noWrap/>
            <w:vAlign w:val="bottom"/>
            <w:hideMark/>
          </w:tcPr>
          <w:p w14:paraId="66FC124A" w14:textId="77777777" w:rsidR="00314E97" w:rsidRPr="009D3C6B" w:rsidRDefault="00314E97" w:rsidP="00D34032">
            <w:pPr>
              <w:jc w:val="right"/>
              <w:rPr>
                <w:lang w:val="id-ID" w:eastAsia="id-ID"/>
              </w:rPr>
            </w:pPr>
            <w:r w:rsidRPr="009D3C6B">
              <w:rPr>
                <w:lang w:val="id-ID" w:eastAsia="id-ID"/>
              </w:rPr>
              <w:t>3.969</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6F569A0A" w14:textId="77777777" w:rsidR="00314E97" w:rsidRPr="009D3C6B" w:rsidRDefault="00314E97" w:rsidP="00D34032">
            <w:pPr>
              <w:jc w:val="right"/>
              <w:rPr>
                <w:lang w:val="id-ID" w:eastAsia="id-ID"/>
              </w:rPr>
            </w:pPr>
            <w:r w:rsidRPr="009D3C6B">
              <w:rPr>
                <w:lang w:val="id-ID" w:eastAsia="id-ID"/>
              </w:rPr>
              <w:t>4.161</w:t>
            </w:r>
          </w:p>
        </w:tc>
        <w:tc>
          <w:tcPr>
            <w:tcW w:w="993" w:type="dxa"/>
            <w:tcBorders>
              <w:top w:val="nil"/>
              <w:left w:val="nil"/>
              <w:bottom w:val="single" w:sz="4" w:space="0" w:color="auto"/>
              <w:right w:val="nil"/>
            </w:tcBorders>
            <w:shd w:val="clear" w:color="auto" w:fill="auto"/>
            <w:noWrap/>
            <w:vAlign w:val="bottom"/>
            <w:hideMark/>
          </w:tcPr>
          <w:p w14:paraId="686066D2" w14:textId="77777777" w:rsidR="00314E97" w:rsidRPr="009D3C6B" w:rsidRDefault="00314E97" w:rsidP="00D34032">
            <w:pPr>
              <w:rPr>
                <w:lang w:val="id-ID" w:eastAsia="id-ID"/>
              </w:rPr>
            </w:pPr>
            <w:r w:rsidRPr="009D3C6B">
              <w:rPr>
                <w:lang w:val="id-ID" w:eastAsia="id-ID"/>
              </w:rPr>
              <w:t xml:space="preserve">    4.374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5555636D" w14:textId="77777777" w:rsidR="00314E97" w:rsidRPr="009D3C6B" w:rsidRDefault="00314E97" w:rsidP="00D34032">
            <w:pPr>
              <w:jc w:val="right"/>
              <w:rPr>
                <w:lang w:val="id-ID" w:eastAsia="id-ID"/>
              </w:rPr>
            </w:pPr>
            <w:r w:rsidRPr="009D3C6B">
              <w:rPr>
                <w:lang w:val="id-ID" w:eastAsia="id-ID"/>
              </w:rPr>
              <w:t>4.624</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47D41DF8" w14:textId="77777777" w:rsidR="00314E97" w:rsidRPr="009D3C6B" w:rsidRDefault="00314E97" w:rsidP="00D34032">
            <w:pPr>
              <w:jc w:val="center"/>
              <w:rPr>
                <w:lang w:val="id-ID" w:eastAsia="id-ID"/>
              </w:rPr>
            </w:pPr>
            <w:r w:rsidRPr="009D3C6B">
              <w:rPr>
                <w:lang w:val="id-ID" w:eastAsia="id-ID"/>
              </w:rPr>
              <w:t>4.084</w:t>
            </w:r>
          </w:p>
        </w:tc>
      </w:tr>
      <w:tr w:rsidR="00314E97" w:rsidRPr="009D3C6B" w14:paraId="3CF6DCE4"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0C42AD2B" w14:textId="77777777" w:rsidR="00314E97" w:rsidRPr="009D3C6B" w:rsidRDefault="00314E97" w:rsidP="00D34032">
            <w:pPr>
              <w:jc w:val="center"/>
              <w:rPr>
                <w:lang w:val="id-ID" w:eastAsia="id-ID"/>
              </w:rPr>
            </w:pPr>
            <w:r w:rsidRPr="009D3C6B">
              <w:rPr>
                <w:lang w:val="id-ID" w:eastAsia="id-ID"/>
              </w:rPr>
              <w:t>4</w:t>
            </w:r>
          </w:p>
        </w:tc>
        <w:tc>
          <w:tcPr>
            <w:tcW w:w="2111" w:type="dxa"/>
            <w:tcBorders>
              <w:top w:val="nil"/>
              <w:left w:val="nil"/>
              <w:bottom w:val="single" w:sz="4" w:space="0" w:color="auto"/>
              <w:right w:val="single" w:sz="8" w:space="0" w:color="auto"/>
            </w:tcBorders>
            <w:shd w:val="clear" w:color="auto" w:fill="auto"/>
            <w:noWrap/>
            <w:vAlign w:val="bottom"/>
            <w:hideMark/>
          </w:tcPr>
          <w:p w14:paraId="74FA14DF" w14:textId="77777777" w:rsidR="00314E97" w:rsidRPr="009D3C6B" w:rsidRDefault="00314E97" w:rsidP="00D34032">
            <w:pPr>
              <w:rPr>
                <w:lang w:val="id-ID" w:eastAsia="id-ID"/>
              </w:rPr>
            </w:pPr>
            <w:r w:rsidRPr="009D3C6B">
              <w:rPr>
                <w:lang w:val="id-ID" w:eastAsia="id-ID"/>
              </w:rPr>
              <w:t>Timor Tengah Selatan</w:t>
            </w:r>
          </w:p>
        </w:tc>
        <w:tc>
          <w:tcPr>
            <w:tcW w:w="800" w:type="dxa"/>
            <w:tcBorders>
              <w:top w:val="nil"/>
              <w:left w:val="nil"/>
              <w:bottom w:val="single" w:sz="4" w:space="0" w:color="auto"/>
              <w:right w:val="nil"/>
            </w:tcBorders>
            <w:shd w:val="clear" w:color="auto" w:fill="auto"/>
            <w:noWrap/>
            <w:vAlign w:val="bottom"/>
            <w:hideMark/>
          </w:tcPr>
          <w:p w14:paraId="38FFAF71" w14:textId="77777777" w:rsidR="00314E97" w:rsidRPr="009D3C6B" w:rsidRDefault="00314E97" w:rsidP="00D34032">
            <w:pPr>
              <w:rPr>
                <w:lang w:val="id-ID" w:eastAsia="id-ID"/>
              </w:rPr>
            </w:pPr>
            <w:r w:rsidRPr="009D3C6B">
              <w:rPr>
                <w:lang w:val="id-ID" w:eastAsia="id-ID"/>
              </w:rPr>
              <w:t xml:space="preserve">    3.606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43FA4244" w14:textId="77777777" w:rsidR="00314E97" w:rsidRPr="009D3C6B" w:rsidRDefault="00314E97" w:rsidP="00D34032">
            <w:pPr>
              <w:jc w:val="right"/>
              <w:rPr>
                <w:lang w:val="id-ID" w:eastAsia="id-ID"/>
              </w:rPr>
            </w:pPr>
            <w:r w:rsidRPr="009D3C6B">
              <w:rPr>
                <w:lang w:val="id-ID" w:eastAsia="id-ID"/>
              </w:rPr>
              <w:t>3.764</w:t>
            </w:r>
          </w:p>
        </w:tc>
        <w:tc>
          <w:tcPr>
            <w:tcW w:w="848" w:type="dxa"/>
            <w:tcBorders>
              <w:top w:val="nil"/>
              <w:left w:val="nil"/>
              <w:bottom w:val="single" w:sz="4" w:space="0" w:color="auto"/>
              <w:right w:val="nil"/>
            </w:tcBorders>
            <w:shd w:val="clear" w:color="auto" w:fill="auto"/>
            <w:noWrap/>
            <w:vAlign w:val="bottom"/>
            <w:hideMark/>
          </w:tcPr>
          <w:p w14:paraId="72CCF7BA" w14:textId="77777777" w:rsidR="00314E97" w:rsidRPr="009D3C6B" w:rsidRDefault="00314E97" w:rsidP="00D34032">
            <w:pPr>
              <w:jc w:val="right"/>
              <w:rPr>
                <w:lang w:val="id-ID" w:eastAsia="id-ID"/>
              </w:rPr>
            </w:pPr>
            <w:r w:rsidRPr="009D3C6B">
              <w:rPr>
                <w:lang w:val="id-ID" w:eastAsia="id-ID"/>
              </w:rPr>
              <w:t>3.929</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3C489049" w14:textId="77777777" w:rsidR="00314E97" w:rsidRPr="009D3C6B" w:rsidRDefault="00314E97" w:rsidP="00D34032">
            <w:pPr>
              <w:jc w:val="right"/>
              <w:rPr>
                <w:lang w:val="id-ID" w:eastAsia="id-ID"/>
              </w:rPr>
            </w:pPr>
            <w:r w:rsidRPr="009D3C6B">
              <w:rPr>
                <w:lang w:val="id-ID" w:eastAsia="id-ID"/>
              </w:rPr>
              <w:t>4.117</w:t>
            </w:r>
          </w:p>
        </w:tc>
        <w:tc>
          <w:tcPr>
            <w:tcW w:w="993" w:type="dxa"/>
            <w:tcBorders>
              <w:top w:val="nil"/>
              <w:left w:val="nil"/>
              <w:bottom w:val="single" w:sz="4" w:space="0" w:color="auto"/>
              <w:right w:val="nil"/>
            </w:tcBorders>
            <w:shd w:val="clear" w:color="auto" w:fill="auto"/>
            <w:noWrap/>
            <w:vAlign w:val="bottom"/>
            <w:hideMark/>
          </w:tcPr>
          <w:p w14:paraId="46D401C8" w14:textId="77777777" w:rsidR="00314E97" w:rsidRPr="009D3C6B" w:rsidRDefault="00314E97" w:rsidP="00D34032">
            <w:pPr>
              <w:rPr>
                <w:lang w:val="id-ID" w:eastAsia="id-ID"/>
              </w:rPr>
            </w:pPr>
            <w:r w:rsidRPr="009D3C6B">
              <w:rPr>
                <w:lang w:val="id-ID" w:eastAsia="id-ID"/>
              </w:rPr>
              <w:t xml:space="preserve">    4.337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4E553783" w14:textId="77777777" w:rsidR="00314E97" w:rsidRPr="009D3C6B" w:rsidRDefault="00314E97" w:rsidP="00D34032">
            <w:pPr>
              <w:jc w:val="right"/>
              <w:rPr>
                <w:lang w:val="id-ID" w:eastAsia="id-ID"/>
              </w:rPr>
            </w:pPr>
            <w:r w:rsidRPr="009D3C6B">
              <w:rPr>
                <w:lang w:val="id-ID" w:eastAsia="id-ID"/>
              </w:rPr>
              <w:t>4.495</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363F7EF9" w14:textId="77777777" w:rsidR="00314E97" w:rsidRPr="009D3C6B" w:rsidRDefault="00314E97" w:rsidP="00D34032">
            <w:pPr>
              <w:jc w:val="center"/>
              <w:rPr>
                <w:lang w:val="id-ID" w:eastAsia="id-ID"/>
              </w:rPr>
            </w:pPr>
            <w:r w:rsidRPr="009D3C6B">
              <w:rPr>
                <w:lang w:val="id-ID" w:eastAsia="id-ID"/>
              </w:rPr>
              <w:t>4.041</w:t>
            </w:r>
          </w:p>
        </w:tc>
      </w:tr>
      <w:tr w:rsidR="00314E97" w:rsidRPr="009D3C6B" w14:paraId="1C30F16C"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6584E6C6" w14:textId="77777777" w:rsidR="00314E97" w:rsidRPr="009D3C6B" w:rsidRDefault="00314E97" w:rsidP="00D34032">
            <w:pPr>
              <w:jc w:val="center"/>
              <w:rPr>
                <w:lang w:val="id-ID" w:eastAsia="id-ID"/>
              </w:rPr>
            </w:pPr>
            <w:r w:rsidRPr="009D3C6B">
              <w:rPr>
                <w:lang w:val="id-ID" w:eastAsia="id-ID"/>
              </w:rPr>
              <w:t>5</w:t>
            </w:r>
          </w:p>
        </w:tc>
        <w:tc>
          <w:tcPr>
            <w:tcW w:w="2111" w:type="dxa"/>
            <w:tcBorders>
              <w:top w:val="nil"/>
              <w:left w:val="nil"/>
              <w:bottom w:val="single" w:sz="4" w:space="0" w:color="auto"/>
              <w:right w:val="single" w:sz="8" w:space="0" w:color="auto"/>
            </w:tcBorders>
            <w:shd w:val="clear" w:color="auto" w:fill="auto"/>
            <w:noWrap/>
            <w:vAlign w:val="bottom"/>
            <w:hideMark/>
          </w:tcPr>
          <w:p w14:paraId="369632DD" w14:textId="77777777" w:rsidR="00314E97" w:rsidRPr="009D3C6B" w:rsidRDefault="00314E97" w:rsidP="00D34032">
            <w:pPr>
              <w:rPr>
                <w:lang w:val="id-ID" w:eastAsia="id-ID"/>
              </w:rPr>
            </w:pPr>
            <w:r w:rsidRPr="009D3C6B">
              <w:rPr>
                <w:lang w:val="id-ID" w:eastAsia="id-ID"/>
              </w:rPr>
              <w:t>Timor   Tengah  Utara</w:t>
            </w:r>
          </w:p>
        </w:tc>
        <w:tc>
          <w:tcPr>
            <w:tcW w:w="800" w:type="dxa"/>
            <w:tcBorders>
              <w:top w:val="nil"/>
              <w:left w:val="nil"/>
              <w:bottom w:val="single" w:sz="4" w:space="0" w:color="auto"/>
              <w:right w:val="nil"/>
            </w:tcBorders>
            <w:shd w:val="clear" w:color="auto" w:fill="auto"/>
            <w:noWrap/>
            <w:vAlign w:val="bottom"/>
            <w:hideMark/>
          </w:tcPr>
          <w:p w14:paraId="3B2A2892" w14:textId="77777777" w:rsidR="00314E97" w:rsidRPr="009D3C6B" w:rsidRDefault="00314E97" w:rsidP="00D34032">
            <w:pPr>
              <w:rPr>
                <w:lang w:val="id-ID" w:eastAsia="id-ID"/>
              </w:rPr>
            </w:pPr>
            <w:r w:rsidRPr="009D3C6B">
              <w:rPr>
                <w:lang w:val="id-ID" w:eastAsia="id-ID"/>
              </w:rPr>
              <w:t xml:space="preserve">    2.180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5B632C2C" w14:textId="77777777" w:rsidR="00314E97" w:rsidRPr="009D3C6B" w:rsidRDefault="00314E97" w:rsidP="00D34032">
            <w:pPr>
              <w:jc w:val="right"/>
              <w:rPr>
                <w:lang w:val="id-ID" w:eastAsia="id-ID"/>
              </w:rPr>
            </w:pPr>
            <w:r w:rsidRPr="009D3C6B">
              <w:rPr>
                <w:lang w:val="id-ID" w:eastAsia="id-ID"/>
              </w:rPr>
              <w:t>2.280</w:t>
            </w:r>
          </w:p>
        </w:tc>
        <w:tc>
          <w:tcPr>
            <w:tcW w:w="848" w:type="dxa"/>
            <w:tcBorders>
              <w:top w:val="nil"/>
              <w:left w:val="nil"/>
              <w:bottom w:val="single" w:sz="4" w:space="0" w:color="auto"/>
              <w:right w:val="nil"/>
            </w:tcBorders>
            <w:shd w:val="clear" w:color="auto" w:fill="auto"/>
            <w:noWrap/>
            <w:vAlign w:val="bottom"/>
            <w:hideMark/>
          </w:tcPr>
          <w:p w14:paraId="06A28A9A" w14:textId="77777777" w:rsidR="00314E97" w:rsidRPr="009D3C6B" w:rsidRDefault="00314E97" w:rsidP="00D34032">
            <w:pPr>
              <w:jc w:val="right"/>
              <w:rPr>
                <w:lang w:val="id-ID" w:eastAsia="id-ID"/>
              </w:rPr>
            </w:pPr>
            <w:r w:rsidRPr="009D3C6B">
              <w:rPr>
                <w:lang w:val="id-ID" w:eastAsia="id-ID"/>
              </w:rPr>
              <w:t>2.387</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24ABD7AA" w14:textId="77777777" w:rsidR="00314E97" w:rsidRPr="009D3C6B" w:rsidRDefault="00314E97" w:rsidP="00D34032">
            <w:pPr>
              <w:jc w:val="right"/>
              <w:rPr>
                <w:lang w:val="id-ID" w:eastAsia="id-ID"/>
              </w:rPr>
            </w:pPr>
            <w:r w:rsidRPr="009D3C6B">
              <w:rPr>
                <w:lang w:val="id-ID" w:eastAsia="id-ID"/>
              </w:rPr>
              <w:t>2.503</w:t>
            </w:r>
          </w:p>
        </w:tc>
        <w:tc>
          <w:tcPr>
            <w:tcW w:w="993" w:type="dxa"/>
            <w:tcBorders>
              <w:top w:val="nil"/>
              <w:left w:val="nil"/>
              <w:bottom w:val="single" w:sz="4" w:space="0" w:color="auto"/>
              <w:right w:val="nil"/>
            </w:tcBorders>
            <w:shd w:val="clear" w:color="auto" w:fill="auto"/>
            <w:noWrap/>
            <w:vAlign w:val="bottom"/>
            <w:hideMark/>
          </w:tcPr>
          <w:p w14:paraId="6F7D648E" w14:textId="77777777" w:rsidR="00314E97" w:rsidRPr="009D3C6B" w:rsidRDefault="00314E97" w:rsidP="00D34032">
            <w:pPr>
              <w:rPr>
                <w:lang w:val="id-ID" w:eastAsia="id-ID"/>
              </w:rPr>
            </w:pPr>
            <w:r w:rsidRPr="009D3C6B">
              <w:rPr>
                <w:lang w:val="id-ID" w:eastAsia="id-ID"/>
              </w:rPr>
              <w:t xml:space="preserve">    2.630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38878696" w14:textId="77777777" w:rsidR="00314E97" w:rsidRPr="009D3C6B" w:rsidRDefault="00314E97" w:rsidP="00D34032">
            <w:pPr>
              <w:jc w:val="right"/>
              <w:rPr>
                <w:lang w:val="id-ID" w:eastAsia="id-ID"/>
              </w:rPr>
            </w:pPr>
            <w:r w:rsidRPr="009D3C6B">
              <w:rPr>
                <w:lang w:val="id-ID" w:eastAsia="id-ID"/>
              </w:rPr>
              <w:t>2.733</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4242EAA7" w14:textId="77777777" w:rsidR="00314E97" w:rsidRPr="009D3C6B" w:rsidRDefault="00314E97" w:rsidP="00D34032">
            <w:pPr>
              <w:jc w:val="center"/>
              <w:rPr>
                <w:lang w:val="id-ID" w:eastAsia="id-ID"/>
              </w:rPr>
            </w:pPr>
            <w:r w:rsidRPr="009D3C6B">
              <w:rPr>
                <w:lang w:val="id-ID" w:eastAsia="id-ID"/>
              </w:rPr>
              <w:t>2.452</w:t>
            </w:r>
          </w:p>
        </w:tc>
      </w:tr>
      <w:tr w:rsidR="00314E97" w:rsidRPr="009D3C6B" w14:paraId="37CBC861"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1CAA6D2A" w14:textId="77777777" w:rsidR="00314E97" w:rsidRPr="009D3C6B" w:rsidRDefault="00314E97" w:rsidP="00D34032">
            <w:pPr>
              <w:jc w:val="center"/>
              <w:rPr>
                <w:lang w:val="id-ID" w:eastAsia="id-ID"/>
              </w:rPr>
            </w:pPr>
            <w:r w:rsidRPr="009D3C6B">
              <w:rPr>
                <w:lang w:val="id-ID" w:eastAsia="id-ID"/>
              </w:rPr>
              <w:t>6</w:t>
            </w:r>
          </w:p>
        </w:tc>
        <w:tc>
          <w:tcPr>
            <w:tcW w:w="2111" w:type="dxa"/>
            <w:tcBorders>
              <w:top w:val="nil"/>
              <w:left w:val="nil"/>
              <w:bottom w:val="single" w:sz="4" w:space="0" w:color="auto"/>
              <w:right w:val="single" w:sz="8" w:space="0" w:color="auto"/>
            </w:tcBorders>
            <w:shd w:val="clear" w:color="auto" w:fill="auto"/>
            <w:noWrap/>
            <w:vAlign w:val="bottom"/>
            <w:hideMark/>
          </w:tcPr>
          <w:p w14:paraId="512AAF2F" w14:textId="77777777" w:rsidR="00314E97" w:rsidRPr="009D3C6B" w:rsidRDefault="00314E97" w:rsidP="00D34032">
            <w:pPr>
              <w:rPr>
                <w:lang w:val="id-ID" w:eastAsia="id-ID"/>
              </w:rPr>
            </w:pPr>
            <w:r w:rsidRPr="009D3C6B">
              <w:rPr>
                <w:lang w:val="id-ID" w:eastAsia="id-ID"/>
              </w:rPr>
              <w:t>Belu</w:t>
            </w:r>
          </w:p>
        </w:tc>
        <w:tc>
          <w:tcPr>
            <w:tcW w:w="800" w:type="dxa"/>
            <w:tcBorders>
              <w:top w:val="nil"/>
              <w:left w:val="nil"/>
              <w:bottom w:val="single" w:sz="4" w:space="0" w:color="auto"/>
              <w:right w:val="nil"/>
            </w:tcBorders>
            <w:shd w:val="clear" w:color="auto" w:fill="auto"/>
            <w:noWrap/>
            <w:vAlign w:val="bottom"/>
            <w:hideMark/>
          </w:tcPr>
          <w:p w14:paraId="6D8F907D" w14:textId="77777777" w:rsidR="00314E97" w:rsidRPr="009D3C6B" w:rsidRDefault="00314E97" w:rsidP="00D34032">
            <w:pPr>
              <w:rPr>
                <w:lang w:val="id-ID" w:eastAsia="id-ID"/>
              </w:rPr>
            </w:pPr>
            <w:r w:rsidRPr="009D3C6B">
              <w:rPr>
                <w:lang w:val="id-ID" w:eastAsia="id-ID"/>
              </w:rPr>
              <w:t xml:space="preserve">    2.135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37A6F343" w14:textId="77777777" w:rsidR="00314E97" w:rsidRPr="009D3C6B" w:rsidRDefault="00314E97" w:rsidP="00D34032">
            <w:pPr>
              <w:jc w:val="right"/>
              <w:rPr>
                <w:lang w:val="id-ID" w:eastAsia="id-ID"/>
              </w:rPr>
            </w:pPr>
            <w:r w:rsidRPr="009D3C6B">
              <w:rPr>
                <w:lang w:val="id-ID" w:eastAsia="id-ID"/>
              </w:rPr>
              <w:t>2.255</w:t>
            </w:r>
          </w:p>
        </w:tc>
        <w:tc>
          <w:tcPr>
            <w:tcW w:w="848" w:type="dxa"/>
            <w:tcBorders>
              <w:top w:val="nil"/>
              <w:left w:val="nil"/>
              <w:bottom w:val="single" w:sz="4" w:space="0" w:color="auto"/>
              <w:right w:val="nil"/>
            </w:tcBorders>
            <w:shd w:val="clear" w:color="auto" w:fill="auto"/>
            <w:noWrap/>
            <w:vAlign w:val="bottom"/>
            <w:hideMark/>
          </w:tcPr>
          <w:p w14:paraId="1ACF21BE" w14:textId="77777777" w:rsidR="00314E97" w:rsidRPr="009D3C6B" w:rsidRDefault="00314E97" w:rsidP="00D34032">
            <w:pPr>
              <w:jc w:val="right"/>
              <w:rPr>
                <w:lang w:val="id-ID" w:eastAsia="id-ID"/>
              </w:rPr>
            </w:pPr>
            <w:r w:rsidRPr="009D3C6B">
              <w:rPr>
                <w:lang w:val="id-ID" w:eastAsia="id-ID"/>
              </w:rPr>
              <w:t>2.375</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174E25AE" w14:textId="77777777" w:rsidR="00314E97" w:rsidRPr="009D3C6B" w:rsidRDefault="00314E97" w:rsidP="00D34032">
            <w:pPr>
              <w:jc w:val="right"/>
              <w:rPr>
                <w:lang w:val="id-ID" w:eastAsia="id-ID"/>
              </w:rPr>
            </w:pPr>
            <w:r w:rsidRPr="009D3C6B">
              <w:rPr>
                <w:lang w:val="id-ID" w:eastAsia="id-ID"/>
              </w:rPr>
              <w:t>2.512</w:t>
            </w:r>
          </w:p>
        </w:tc>
        <w:tc>
          <w:tcPr>
            <w:tcW w:w="993" w:type="dxa"/>
            <w:tcBorders>
              <w:top w:val="nil"/>
              <w:left w:val="nil"/>
              <w:bottom w:val="single" w:sz="4" w:space="0" w:color="auto"/>
              <w:right w:val="nil"/>
            </w:tcBorders>
            <w:shd w:val="clear" w:color="auto" w:fill="auto"/>
            <w:noWrap/>
            <w:vAlign w:val="bottom"/>
            <w:hideMark/>
          </w:tcPr>
          <w:p w14:paraId="2C084BC5" w14:textId="77777777" w:rsidR="00314E97" w:rsidRPr="009D3C6B" w:rsidRDefault="00314E97" w:rsidP="00D34032">
            <w:pPr>
              <w:rPr>
                <w:lang w:val="id-ID" w:eastAsia="id-ID"/>
              </w:rPr>
            </w:pPr>
            <w:r w:rsidRPr="009D3C6B">
              <w:rPr>
                <w:lang w:val="id-ID" w:eastAsia="id-ID"/>
              </w:rPr>
              <w:t xml:space="preserve">    2.658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554F89F3" w14:textId="77777777" w:rsidR="00314E97" w:rsidRPr="009D3C6B" w:rsidRDefault="00314E97" w:rsidP="00D34032">
            <w:pPr>
              <w:jc w:val="right"/>
              <w:rPr>
                <w:lang w:val="id-ID" w:eastAsia="id-ID"/>
              </w:rPr>
            </w:pPr>
            <w:r w:rsidRPr="009D3C6B">
              <w:rPr>
                <w:lang w:val="id-ID" w:eastAsia="id-ID"/>
              </w:rPr>
              <w:t>2.778</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676C10C2" w14:textId="77777777" w:rsidR="00314E97" w:rsidRPr="009D3C6B" w:rsidRDefault="00314E97" w:rsidP="00D34032">
            <w:pPr>
              <w:jc w:val="center"/>
              <w:rPr>
                <w:lang w:val="id-ID" w:eastAsia="id-ID"/>
              </w:rPr>
            </w:pPr>
            <w:r w:rsidRPr="009D3C6B">
              <w:rPr>
                <w:lang w:val="id-ID" w:eastAsia="id-ID"/>
              </w:rPr>
              <w:t>2.452</w:t>
            </w:r>
          </w:p>
        </w:tc>
      </w:tr>
      <w:tr w:rsidR="00314E97" w:rsidRPr="009D3C6B" w14:paraId="7C6C2533"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1FD30C47" w14:textId="77777777" w:rsidR="00314E97" w:rsidRPr="009D3C6B" w:rsidRDefault="00314E97" w:rsidP="00D34032">
            <w:pPr>
              <w:jc w:val="center"/>
              <w:rPr>
                <w:lang w:val="id-ID" w:eastAsia="id-ID"/>
              </w:rPr>
            </w:pPr>
            <w:r w:rsidRPr="009D3C6B">
              <w:rPr>
                <w:lang w:val="id-ID" w:eastAsia="id-ID"/>
              </w:rPr>
              <w:t>7</w:t>
            </w:r>
          </w:p>
        </w:tc>
        <w:tc>
          <w:tcPr>
            <w:tcW w:w="2111" w:type="dxa"/>
            <w:tcBorders>
              <w:top w:val="nil"/>
              <w:left w:val="nil"/>
              <w:bottom w:val="single" w:sz="4" w:space="0" w:color="auto"/>
              <w:right w:val="single" w:sz="8" w:space="0" w:color="auto"/>
            </w:tcBorders>
            <w:shd w:val="clear" w:color="auto" w:fill="auto"/>
            <w:noWrap/>
            <w:vAlign w:val="bottom"/>
            <w:hideMark/>
          </w:tcPr>
          <w:p w14:paraId="7E8ACDDD" w14:textId="77777777" w:rsidR="00314E97" w:rsidRPr="009D3C6B" w:rsidRDefault="00314E97" w:rsidP="00D34032">
            <w:pPr>
              <w:rPr>
                <w:lang w:val="id-ID" w:eastAsia="id-ID"/>
              </w:rPr>
            </w:pPr>
            <w:r w:rsidRPr="009D3C6B">
              <w:rPr>
                <w:lang w:val="id-ID" w:eastAsia="id-ID"/>
              </w:rPr>
              <w:t>Alor</w:t>
            </w:r>
          </w:p>
        </w:tc>
        <w:tc>
          <w:tcPr>
            <w:tcW w:w="800" w:type="dxa"/>
            <w:tcBorders>
              <w:top w:val="nil"/>
              <w:left w:val="nil"/>
              <w:bottom w:val="single" w:sz="4" w:space="0" w:color="auto"/>
              <w:right w:val="nil"/>
            </w:tcBorders>
            <w:shd w:val="clear" w:color="auto" w:fill="auto"/>
            <w:noWrap/>
            <w:vAlign w:val="bottom"/>
            <w:hideMark/>
          </w:tcPr>
          <w:p w14:paraId="2E08A1D4" w14:textId="77777777" w:rsidR="00314E97" w:rsidRPr="009D3C6B" w:rsidRDefault="00314E97" w:rsidP="00D34032">
            <w:pPr>
              <w:rPr>
                <w:lang w:val="id-ID" w:eastAsia="id-ID"/>
              </w:rPr>
            </w:pPr>
            <w:r w:rsidRPr="009D3C6B">
              <w:rPr>
                <w:lang w:val="id-ID" w:eastAsia="id-ID"/>
              </w:rPr>
              <w:t xml:space="preserve">    1.503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1C351650" w14:textId="77777777" w:rsidR="00314E97" w:rsidRPr="009D3C6B" w:rsidRDefault="00314E97" w:rsidP="00D34032">
            <w:pPr>
              <w:jc w:val="right"/>
              <w:rPr>
                <w:lang w:val="id-ID" w:eastAsia="id-ID"/>
              </w:rPr>
            </w:pPr>
            <w:r w:rsidRPr="009D3C6B">
              <w:rPr>
                <w:lang w:val="id-ID" w:eastAsia="id-ID"/>
              </w:rPr>
              <w:t>1.575</w:t>
            </w:r>
          </w:p>
        </w:tc>
        <w:tc>
          <w:tcPr>
            <w:tcW w:w="848" w:type="dxa"/>
            <w:tcBorders>
              <w:top w:val="nil"/>
              <w:left w:val="nil"/>
              <w:bottom w:val="single" w:sz="4" w:space="0" w:color="auto"/>
              <w:right w:val="nil"/>
            </w:tcBorders>
            <w:shd w:val="clear" w:color="auto" w:fill="auto"/>
            <w:noWrap/>
            <w:vAlign w:val="bottom"/>
            <w:hideMark/>
          </w:tcPr>
          <w:p w14:paraId="3BA5BBCD" w14:textId="77777777" w:rsidR="00314E97" w:rsidRPr="009D3C6B" w:rsidRDefault="00314E97" w:rsidP="00D34032">
            <w:pPr>
              <w:jc w:val="right"/>
              <w:rPr>
                <w:lang w:val="id-ID" w:eastAsia="id-ID"/>
              </w:rPr>
            </w:pPr>
            <w:r w:rsidRPr="009D3C6B">
              <w:rPr>
                <w:lang w:val="id-ID" w:eastAsia="id-ID"/>
              </w:rPr>
              <w:t>1.652</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60227EEA" w14:textId="77777777" w:rsidR="00314E97" w:rsidRPr="009D3C6B" w:rsidRDefault="00314E97" w:rsidP="00D34032">
            <w:pPr>
              <w:jc w:val="right"/>
              <w:rPr>
                <w:lang w:val="id-ID" w:eastAsia="id-ID"/>
              </w:rPr>
            </w:pPr>
            <w:r w:rsidRPr="009D3C6B">
              <w:rPr>
                <w:lang w:val="id-ID" w:eastAsia="id-ID"/>
              </w:rPr>
              <w:t>1.728</w:t>
            </w:r>
          </w:p>
        </w:tc>
        <w:tc>
          <w:tcPr>
            <w:tcW w:w="993" w:type="dxa"/>
            <w:tcBorders>
              <w:top w:val="nil"/>
              <w:left w:val="nil"/>
              <w:bottom w:val="single" w:sz="4" w:space="0" w:color="auto"/>
              <w:right w:val="nil"/>
            </w:tcBorders>
            <w:shd w:val="clear" w:color="auto" w:fill="auto"/>
            <w:noWrap/>
            <w:vAlign w:val="bottom"/>
            <w:hideMark/>
          </w:tcPr>
          <w:p w14:paraId="266BAFE0" w14:textId="77777777" w:rsidR="00314E97" w:rsidRPr="009D3C6B" w:rsidRDefault="00314E97" w:rsidP="00D34032">
            <w:pPr>
              <w:rPr>
                <w:lang w:val="id-ID" w:eastAsia="id-ID"/>
              </w:rPr>
            </w:pPr>
            <w:r w:rsidRPr="009D3C6B">
              <w:rPr>
                <w:lang w:val="id-ID" w:eastAsia="id-ID"/>
              </w:rPr>
              <w:t xml:space="preserve">    1.812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0C46E830" w14:textId="77777777" w:rsidR="00314E97" w:rsidRPr="009D3C6B" w:rsidRDefault="00314E97" w:rsidP="00D34032">
            <w:pPr>
              <w:jc w:val="right"/>
              <w:rPr>
                <w:lang w:val="id-ID" w:eastAsia="id-ID"/>
              </w:rPr>
            </w:pPr>
            <w:r w:rsidRPr="009D3C6B">
              <w:rPr>
                <w:lang w:val="id-ID" w:eastAsia="id-ID"/>
              </w:rPr>
              <w:t>1.885</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17463BAD" w14:textId="77777777" w:rsidR="00314E97" w:rsidRPr="009D3C6B" w:rsidRDefault="00314E97" w:rsidP="00D34032">
            <w:pPr>
              <w:jc w:val="center"/>
              <w:rPr>
                <w:lang w:val="id-ID" w:eastAsia="id-ID"/>
              </w:rPr>
            </w:pPr>
            <w:r w:rsidRPr="009D3C6B">
              <w:rPr>
                <w:lang w:val="id-ID" w:eastAsia="id-ID"/>
              </w:rPr>
              <w:t>1.693</w:t>
            </w:r>
          </w:p>
        </w:tc>
      </w:tr>
      <w:tr w:rsidR="00314E97" w:rsidRPr="009D3C6B" w14:paraId="64C12594" w14:textId="77777777" w:rsidTr="00477F24">
        <w:trPr>
          <w:trHeight w:val="315"/>
        </w:trPr>
        <w:tc>
          <w:tcPr>
            <w:tcW w:w="269" w:type="dxa"/>
            <w:tcBorders>
              <w:top w:val="nil"/>
              <w:left w:val="single" w:sz="8" w:space="0" w:color="auto"/>
              <w:bottom w:val="single" w:sz="4" w:space="0" w:color="auto"/>
              <w:right w:val="single" w:sz="8" w:space="0" w:color="auto"/>
            </w:tcBorders>
            <w:shd w:val="clear" w:color="auto" w:fill="auto"/>
            <w:noWrap/>
            <w:vAlign w:val="center"/>
            <w:hideMark/>
          </w:tcPr>
          <w:p w14:paraId="5BDC0F0F" w14:textId="77777777" w:rsidR="00314E97" w:rsidRPr="009D3C6B" w:rsidRDefault="00314E97" w:rsidP="00D34032">
            <w:pPr>
              <w:jc w:val="center"/>
              <w:rPr>
                <w:lang w:val="id-ID" w:eastAsia="id-ID"/>
              </w:rPr>
            </w:pPr>
            <w:r w:rsidRPr="009D3C6B">
              <w:rPr>
                <w:lang w:val="id-ID" w:eastAsia="id-ID"/>
              </w:rPr>
              <w:t>8</w:t>
            </w:r>
          </w:p>
        </w:tc>
        <w:tc>
          <w:tcPr>
            <w:tcW w:w="2111" w:type="dxa"/>
            <w:tcBorders>
              <w:top w:val="nil"/>
              <w:left w:val="nil"/>
              <w:bottom w:val="single" w:sz="4" w:space="0" w:color="auto"/>
              <w:right w:val="single" w:sz="8" w:space="0" w:color="auto"/>
            </w:tcBorders>
            <w:shd w:val="clear" w:color="auto" w:fill="auto"/>
            <w:noWrap/>
            <w:vAlign w:val="bottom"/>
            <w:hideMark/>
          </w:tcPr>
          <w:p w14:paraId="243AA41E" w14:textId="77777777" w:rsidR="00314E97" w:rsidRPr="009D3C6B" w:rsidRDefault="00314E97" w:rsidP="00D34032">
            <w:pPr>
              <w:rPr>
                <w:lang w:val="id-ID" w:eastAsia="id-ID"/>
              </w:rPr>
            </w:pPr>
            <w:r w:rsidRPr="009D3C6B">
              <w:rPr>
                <w:lang w:val="id-ID" w:eastAsia="id-ID"/>
              </w:rPr>
              <w:t>Lembata</w:t>
            </w:r>
          </w:p>
        </w:tc>
        <w:tc>
          <w:tcPr>
            <w:tcW w:w="800" w:type="dxa"/>
            <w:tcBorders>
              <w:top w:val="nil"/>
              <w:left w:val="nil"/>
              <w:bottom w:val="single" w:sz="4" w:space="0" w:color="auto"/>
              <w:right w:val="nil"/>
            </w:tcBorders>
            <w:shd w:val="clear" w:color="auto" w:fill="auto"/>
            <w:noWrap/>
            <w:vAlign w:val="bottom"/>
            <w:hideMark/>
          </w:tcPr>
          <w:p w14:paraId="78B6DB6D" w14:textId="77777777" w:rsidR="00314E97" w:rsidRPr="009D3C6B" w:rsidRDefault="00314E97" w:rsidP="00D34032">
            <w:pPr>
              <w:rPr>
                <w:lang w:val="id-ID" w:eastAsia="id-ID"/>
              </w:rPr>
            </w:pPr>
            <w:r w:rsidRPr="009D3C6B">
              <w:rPr>
                <w:lang w:val="id-ID" w:eastAsia="id-ID"/>
              </w:rPr>
              <w:t xml:space="preserve">        871 </w:t>
            </w:r>
          </w:p>
        </w:tc>
        <w:tc>
          <w:tcPr>
            <w:tcW w:w="848" w:type="dxa"/>
            <w:tcBorders>
              <w:top w:val="nil"/>
              <w:left w:val="single" w:sz="8" w:space="0" w:color="auto"/>
              <w:bottom w:val="single" w:sz="4" w:space="0" w:color="auto"/>
              <w:right w:val="single" w:sz="8" w:space="0" w:color="auto"/>
            </w:tcBorders>
            <w:shd w:val="clear" w:color="auto" w:fill="auto"/>
            <w:noWrap/>
            <w:vAlign w:val="bottom"/>
            <w:hideMark/>
          </w:tcPr>
          <w:p w14:paraId="1A0CDE35" w14:textId="77777777" w:rsidR="00314E97" w:rsidRPr="009D3C6B" w:rsidRDefault="00314E97" w:rsidP="00D34032">
            <w:pPr>
              <w:jc w:val="right"/>
              <w:rPr>
                <w:lang w:val="id-ID" w:eastAsia="id-ID"/>
              </w:rPr>
            </w:pPr>
            <w:r w:rsidRPr="009D3C6B">
              <w:rPr>
                <w:lang w:val="id-ID" w:eastAsia="id-ID"/>
              </w:rPr>
              <w:t>915</w:t>
            </w:r>
          </w:p>
        </w:tc>
        <w:tc>
          <w:tcPr>
            <w:tcW w:w="848" w:type="dxa"/>
            <w:tcBorders>
              <w:top w:val="nil"/>
              <w:left w:val="nil"/>
              <w:bottom w:val="single" w:sz="4" w:space="0" w:color="auto"/>
              <w:right w:val="nil"/>
            </w:tcBorders>
            <w:shd w:val="clear" w:color="auto" w:fill="auto"/>
            <w:noWrap/>
            <w:vAlign w:val="bottom"/>
            <w:hideMark/>
          </w:tcPr>
          <w:p w14:paraId="7AB56999" w14:textId="77777777" w:rsidR="00314E97" w:rsidRPr="009D3C6B" w:rsidRDefault="00314E97" w:rsidP="00D34032">
            <w:pPr>
              <w:jc w:val="right"/>
              <w:rPr>
                <w:lang w:val="id-ID" w:eastAsia="id-ID"/>
              </w:rPr>
            </w:pPr>
            <w:r w:rsidRPr="009D3C6B">
              <w:rPr>
                <w:lang w:val="id-ID" w:eastAsia="id-ID"/>
              </w:rPr>
              <w:t>961</w:t>
            </w:r>
          </w:p>
        </w:tc>
        <w:tc>
          <w:tcPr>
            <w:tcW w:w="847" w:type="dxa"/>
            <w:tcBorders>
              <w:top w:val="nil"/>
              <w:left w:val="single" w:sz="8" w:space="0" w:color="auto"/>
              <w:bottom w:val="single" w:sz="4" w:space="0" w:color="auto"/>
              <w:right w:val="single" w:sz="8" w:space="0" w:color="auto"/>
            </w:tcBorders>
            <w:shd w:val="clear" w:color="auto" w:fill="auto"/>
            <w:noWrap/>
            <w:vAlign w:val="bottom"/>
            <w:hideMark/>
          </w:tcPr>
          <w:p w14:paraId="1CA10453" w14:textId="77777777" w:rsidR="00314E97" w:rsidRPr="009D3C6B" w:rsidRDefault="00314E97" w:rsidP="00D34032">
            <w:pPr>
              <w:jc w:val="right"/>
              <w:rPr>
                <w:lang w:val="id-ID" w:eastAsia="id-ID"/>
              </w:rPr>
            </w:pPr>
            <w:r w:rsidRPr="009D3C6B">
              <w:rPr>
                <w:lang w:val="id-ID" w:eastAsia="id-ID"/>
              </w:rPr>
              <w:t>1.007</w:t>
            </w:r>
          </w:p>
        </w:tc>
        <w:tc>
          <w:tcPr>
            <w:tcW w:w="993" w:type="dxa"/>
            <w:tcBorders>
              <w:top w:val="nil"/>
              <w:left w:val="nil"/>
              <w:bottom w:val="single" w:sz="4" w:space="0" w:color="auto"/>
              <w:right w:val="nil"/>
            </w:tcBorders>
            <w:shd w:val="clear" w:color="auto" w:fill="auto"/>
            <w:noWrap/>
            <w:vAlign w:val="bottom"/>
            <w:hideMark/>
          </w:tcPr>
          <w:p w14:paraId="682FB3A6" w14:textId="77777777" w:rsidR="00314E97" w:rsidRPr="009D3C6B" w:rsidRDefault="00314E97" w:rsidP="00D34032">
            <w:pPr>
              <w:rPr>
                <w:lang w:val="id-ID" w:eastAsia="id-ID"/>
              </w:rPr>
            </w:pPr>
            <w:r w:rsidRPr="009D3C6B">
              <w:rPr>
                <w:lang w:val="id-ID" w:eastAsia="id-ID"/>
              </w:rPr>
              <w:t xml:space="preserve">    1.057 </w:t>
            </w:r>
          </w:p>
        </w:tc>
        <w:tc>
          <w:tcPr>
            <w:tcW w:w="897" w:type="dxa"/>
            <w:tcBorders>
              <w:top w:val="nil"/>
              <w:left w:val="single" w:sz="8" w:space="0" w:color="auto"/>
              <w:bottom w:val="single" w:sz="4" w:space="0" w:color="auto"/>
              <w:right w:val="single" w:sz="8" w:space="0" w:color="auto"/>
            </w:tcBorders>
            <w:shd w:val="clear" w:color="000000" w:fill="FFFFFF"/>
            <w:noWrap/>
            <w:vAlign w:val="bottom"/>
            <w:hideMark/>
          </w:tcPr>
          <w:p w14:paraId="090BDCCC" w14:textId="77777777" w:rsidR="00314E97" w:rsidRPr="009D3C6B" w:rsidRDefault="00314E97" w:rsidP="00D34032">
            <w:pPr>
              <w:jc w:val="right"/>
              <w:rPr>
                <w:lang w:val="id-ID" w:eastAsia="id-ID"/>
              </w:rPr>
            </w:pPr>
            <w:r w:rsidRPr="009D3C6B">
              <w:rPr>
                <w:lang w:val="id-ID" w:eastAsia="id-ID"/>
              </w:rPr>
              <w:t>1.101</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27222A65" w14:textId="77777777" w:rsidR="00314E97" w:rsidRPr="009D3C6B" w:rsidRDefault="00314E97" w:rsidP="00D34032">
            <w:pPr>
              <w:jc w:val="center"/>
              <w:rPr>
                <w:lang w:val="id-ID" w:eastAsia="id-ID"/>
              </w:rPr>
            </w:pPr>
            <w:r w:rsidRPr="009D3C6B">
              <w:rPr>
                <w:lang w:val="id-ID" w:eastAsia="id-ID"/>
              </w:rPr>
              <w:t>985</w:t>
            </w:r>
          </w:p>
        </w:tc>
      </w:tr>
      <w:tr w:rsidR="00314E97" w:rsidRPr="009D3C6B" w14:paraId="744B01B9" w14:textId="77777777" w:rsidTr="00477F24">
        <w:trPr>
          <w:trHeight w:val="315"/>
        </w:trPr>
        <w:tc>
          <w:tcPr>
            <w:tcW w:w="269" w:type="dxa"/>
            <w:tcBorders>
              <w:top w:val="nil"/>
              <w:left w:val="single" w:sz="8" w:space="0" w:color="auto"/>
              <w:bottom w:val="nil"/>
              <w:right w:val="single" w:sz="8" w:space="0" w:color="auto"/>
            </w:tcBorders>
            <w:shd w:val="clear" w:color="auto" w:fill="auto"/>
            <w:noWrap/>
            <w:vAlign w:val="center"/>
            <w:hideMark/>
          </w:tcPr>
          <w:p w14:paraId="60CB8424" w14:textId="77777777" w:rsidR="00314E97" w:rsidRPr="009D3C6B" w:rsidRDefault="00314E97" w:rsidP="00D34032">
            <w:pPr>
              <w:jc w:val="center"/>
              <w:rPr>
                <w:lang w:val="id-ID" w:eastAsia="id-ID"/>
              </w:rPr>
            </w:pPr>
            <w:r w:rsidRPr="009D3C6B">
              <w:rPr>
                <w:lang w:val="id-ID" w:eastAsia="id-ID"/>
              </w:rPr>
              <w:t>9</w:t>
            </w:r>
          </w:p>
        </w:tc>
        <w:tc>
          <w:tcPr>
            <w:tcW w:w="2111" w:type="dxa"/>
            <w:tcBorders>
              <w:top w:val="nil"/>
              <w:left w:val="nil"/>
              <w:bottom w:val="nil"/>
              <w:right w:val="single" w:sz="8" w:space="0" w:color="auto"/>
            </w:tcBorders>
            <w:shd w:val="clear" w:color="auto" w:fill="auto"/>
            <w:noWrap/>
            <w:vAlign w:val="bottom"/>
            <w:hideMark/>
          </w:tcPr>
          <w:p w14:paraId="7A995010" w14:textId="77777777" w:rsidR="00314E97" w:rsidRPr="009D3C6B" w:rsidRDefault="00314E97" w:rsidP="00D34032">
            <w:pPr>
              <w:rPr>
                <w:lang w:val="id-ID" w:eastAsia="id-ID"/>
              </w:rPr>
            </w:pPr>
            <w:r w:rsidRPr="009D3C6B">
              <w:rPr>
                <w:lang w:val="id-ID" w:eastAsia="id-ID"/>
              </w:rPr>
              <w:t>Flores Timur</w:t>
            </w:r>
          </w:p>
        </w:tc>
        <w:tc>
          <w:tcPr>
            <w:tcW w:w="800" w:type="dxa"/>
            <w:tcBorders>
              <w:top w:val="nil"/>
              <w:left w:val="nil"/>
              <w:bottom w:val="nil"/>
              <w:right w:val="nil"/>
            </w:tcBorders>
            <w:shd w:val="clear" w:color="auto" w:fill="auto"/>
            <w:noWrap/>
            <w:vAlign w:val="bottom"/>
            <w:hideMark/>
          </w:tcPr>
          <w:p w14:paraId="66A160BC" w14:textId="77777777" w:rsidR="00314E97" w:rsidRPr="009D3C6B" w:rsidRDefault="00314E97" w:rsidP="00D34032">
            <w:pPr>
              <w:rPr>
                <w:lang w:val="id-ID" w:eastAsia="id-ID"/>
              </w:rPr>
            </w:pPr>
            <w:r w:rsidRPr="009D3C6B">
              <w:rPr>
                <w:lang w:val="id-ID" w:eastAsia="id-ID"/>
              </w:rPr>
              <w:t xml:space="preserve">    2.659 </w:t>
            </w:r>
          </w:p>
        </w:tc>
        <w:tc>
          <w:tcPr>
            <w:tcW w:w="848" w:type="dxa"/>
            <w:tcBorders>
              <w:top w:val="nil"/>
              <w:left w:val="single" w:sz="8" w:space="0" w:color="auto"/>
              <w:bottom w:val="nil"/>
              <w:right w:val="single" w:sz="8" w:space="0" w:color="auto"/>
            </w:tcBorders>
            <w:shd w:val="clear" w:color="auto" w:fill="auto"/>
            <w:noWrap/>
            <w:vAlign w:val="bottom"/>
            <w:hideMark/>
          </w:tcPr>
          <w:p w14:paraId="5808EDED" w14:textId="77777777" w:rsidR="00314E97" w:rsidRPr="009D3C6B" w:rsidRDefault="00314E97" w:rsidP="00D34032">
            <w:pPr>
              <w:jc w:val="right"/>
              <w:rPr>
                <w:lang w:val="id-ID" w:eastAsia="id-ID"/>
              </w:rPr>
            </w:pPr>
            <w:r w:rsidRPr="009D3C6B">
              <w:rPr>
                <w:lang w:val="id-ID" w:eastAsia="id-ID"/>
              </w:rPr>
              <w:t>2.787</w:t>
            </w:r>
          </w:p>
        </w:tc>
        <w:tc>
          <w:tcPr>
            <w:tcW w:w="848" w:type="dxa"/>
            <w:tcBorders>
              <w:top w:val="nil"/>
              <w:left w:val="nil"/>
              <w:bottom w:val="nil"/>
              <w:right w:val="nil"/>
            </w:tcBorders>
            <w:shd w:val="clear" w:color="auto" w:fill="auto"/>
            <w:noWrap/>
            <w:vAlign w:val="bottom"/>
            <w:hideMark/>
          </w:tcPr>
          <w:p w14:paraId="699C90EF" w14:textId="77777777" w:rsidR="00314E97" w:rsidRPr="009D3C6B" w:rsidRDefault="00314E97" w:rsidP="00D34032">
            <w:pPr>
              <w:jc w:val="right"/>
              <w:rPr>
                <w:lang w:val="id-ID" w:eastAsia="id-ID"/>
              </w:rPr>
            </w:pPr>
            <w:r w:rsidRPr="009D3C6B">
              <w:rPr>
                <w:lang w:val="id-ID" w:eastAsia="id-ID"/>
              </w:rPr>
              <w:t>2.916</w:t>
            </w:r>
          </w:p>
        </w:tc>
        <w:tc>
          <w:tcPr>
            <w:tcW w:w="847" w:type="dxa"/>
            <w:tcBorders>
              <w:top w:val="nil"/>
              <w:left w:val="single" w:sz="8" w:space="0" w:color="auto"/>
              <w:bottom w:val="nil"/>
              <w:right w:val="single" w:sz="8" w:space="0" w:color="auto"/>
            </w:tcBorders>
            <w:shd w:val="clear" w:color="auto" w:fill="auto"/>
            <w:noWrap/>
            <w:vAlign w:val="bottom"/>
            <w:hideMark/>
          </w:tcPr>
          <w:p w14:paraId="367119FC" w14:textId="77777777" w:rsidR="00314E97" w:rsidRPr="009D3C6B" w:rsidRDefault="00314E97" w:rsidP="00D34032">
            <w:pPr>
              <w:jc w:val="right"/>
              <w:rPr>
                <w:lang w:val="id-ID" w:eastAsia="id-ID"/>
              </w:rPr>
            </w:pPr>
            <w:r w:rsidRPr="009D3C6B">
              <w:rPr>
                <w:lang w:val="id-ID" w:eastAsia="id-ID"/>
              </w:rPr>
              <w:t>3.055</w:t>
            </w:r>
          </w:p>
        </w:tc>
        <w:tc>
          <w:tcPr>
            <w:tcW w:w="993" w:type="dxa"/>
            <w:tcBorders>
              <w:top w:val="nil"/>
              <w:left w:val="nil"/>
              <w:bottom w:val="nil"/>
              <w:right w:val="nil"/>
            </w:tcBorders>
            <w:shd w:val="clear" w:color="auto" w:fill="auto"/>
            <w:noWrap/>
            <w:vAlign w:val="bottom"/>
            <w:hideMark/>
          </w:tcPr>
          <w:p w14:paraId="2BFEA75F" w14:textId="77777777" w:rsidR="00314E97" w:rsidRPr="009D3C6B" w:rsidRDefault="00314E97" w:rsidP="00D34032">
            <w:pPr>
              <w:rPr>
                <w:lang w:val="id-ID" w:eastAsia="id-ID"/>
              </w:rPr>
            </w:pPr>
            <w:r w:rsidRPr="009D3C6B">
              <w:rPr>
                <w:lang w:val="id-ID" w:eastAsia="id-ID"/>
              </w:rPr>
              <w:t xml:space="preserve">    3.213 </w:t>
            </w:r>
          </w:p>
        </w:tc>
        <w:tc>
          <w:tcPr>
            <w:tcW w:w="897" w:type="dxa"/>
            <w:tcBorders>
              <w:top w:val="nil"/>
              <w:left w:val="single" w:sz="8" w:space="0" w:color="auto"/>
              <w:bottom w:val="nil"/>
              <w:right w:val="single" w:sz="8" w:space="0" w:color="auto"/>
            </w:tcBorders>
            <w:shd w:val="clear" w:color="000000" w:fill="FFFFFF"/>
            <w:noWrap/>
            <w:vAlign w:val="bottom"/>
            <w:hideMark/>
          </w:tcPr>
          <w:p w14:paraId="6367C4A5" w14:textId="77777777" w:rsidR="00314E97" w:rsidRPr="009D3C6B" w:rsidRDefault="00314E97" w:rsidP="00D34032">
            <w:pPr>
              <w:jc w:val="right"/>
              <w:rPr>
                <w:lang w:val="id-ID" w:eastAsia="id-ID"/>
              </w:rPr>
            </w:pPr>
            <w:r w:rsidRPr="009D3C6B">
              <w:rPr>
                <w:lang w:val="id-ID" w:eastAsia="id-ID"/>
              </w:rPr>
              <w:t>3.339</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1EEFE5AE" w14:textId="77777777" w:rsidR="00314E97" w:rsidRPr="009D3C6B" w:rsidRDefault="00314E97" w:rsidP="00D34032">
            <w:pPr>
              <w:jc w:val="center"/>
              <w:rPr>
                <w:lang w:val="id-ID" w:eastAsia="id-ID"/>
              </w:rPr>
            </w:pPr>
            <w:r w:rsidRPr="009D3C6B">
              <w:rPr>
                <w:lang w:val="id-ID" w:eastAsia="id-ID"/>
              </w:rPr>
              <w:t>2.995</w:t>
            </w:r>
          </w:p>
        </w:tc>
      </w:tr>
      <w:tr w:rsidR="00314E97" w:rsidRPr="009D3C6B" w14:paraId="5C9FE4F2"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7C8E1B47" w14:textId="77777777" w:rsidR="00314E97" w:rsidRPr="009D3C6B" w:rsidRDefault="00314E97" w:rsidP="00D34032">
            <w:pPr>
              <w:jc w:val="center"/>
              <w:rPr>
                <w:lang w:val="id-ID" w:eastAsia="id-ID"/>
              </w:rPr>
            </w:pPr>
            <w:r w:rsidRPr="009D3C6B">
              <w:rPr>
                <w:lang w:val="id-ID" w:eastAsia="id-ID"/>
              </w:rPr>
              <w:t>10</w:t>
            </w:r>
          </w:p>
        </w:tc>
        <w:tc>
          <w:tcPr>
            <w:tcW w:w="2111" w:type="dxa"/>
            <w:tcBorders>
              <w:top w:val="single" w:sz="4" w:space="0" w:color="auto"/>
              <w:left w:val="nil"/>
              <w:bottom w:val="nil"/>
              <w:right w:val="single" w:sz="8" w:space="0" w:color="auto"/>
            </w:tcBorders>
            <w:shd w:val="clear" w:color="auto" w:fill="auto"/>
            <w:noWrap/>
            <w:vAlign w:val="bottom"/>
            <w:hideMark/>
          </w:tcPr>
          <w:p w14:paraId="72B96368" w14:textId="77777777" w:rsidR="00314E97" w:rsidRPr="009D3C6B" w:rsidRDefault="00314E97" w:rsidP="00D34032">
            <w:pPr>
              <w:rPr>
                <w:lang w:val="id-ID" w:eastAsia="id-ID"/>
              </w:rPr>
            </w:pPr>
            <w:r w:rsidRPr="009D3C6B">
              <w:rPr>
                <w:lang w:val="id-ID" w:eastAsia="id-ID"/>
              </w:rPr>
              <w:t>Sikka</w:t>
            </w:r>
          </w:p>
        </w:tc>
        <w:tc>
          <w:tcPr>
            <w:tcW w:w="800" w:type="dxa"/>
            <w:tcBorders>
              <w:top w:val="single" w:sz="4" w:space="0" w:color="auto"/>
              <w:left w:val="nil"/>
              <w:bottom w:val="nil"/>
              <w:right w:val="nil"/>
            </w:tcBorders>
            <w:shd w:val="clear" w:color="auto" w:fill="auto"/>
            <w:noWrap/>
            <w:vAlign w:val="bottom"/>
            <w:hideMark/>
          </w:tcPr>
          <w:p w14:paraId="4D278D48" w14:textId="77777777" w:rsidR="00314E97" w:rsidRPr="009D3C6B" w:rsidRDefault="00314E97" w:rsidP="00D34032">
            <w:pPr>
              <w:rPr>
                <w:lang w:val="id-ID" w:eastAsia="id-ID"/>
              </w:rPr>
            </w:pPr>
            <w:r w:rsidRPr="009D3C6B">
              <w:rPr>
                <w:lang w:val="id-ID" w:eastAsia="id-ID"/>
              </w:rPr>
              <w:t xml:space="preserve">    2.497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0163F0C8" w14:textId="77777777" w:rsidR="00314E97" w:rsidRPr="009D3C6B" w:rsidRDefault="00314E97" w:rsidP="00D34032">
            <w:pPr>
              <w:jc w:val="right"/>
              <w:rPr>
                <w:lang w:val="id-ID" w:eastAsia="id-ID"/>
              </w:rPr>
            </w:pPr>
            <w:r w:rsidRPr="009D3C6B">
              <w:rPr>
                <w:lang w:val="id-ID" w:eastAsia="id-ID"/>
              </w:rPr>
              <w:t>2.611</w:t>
            </w:r>
          </w:p>
        </w:tc>
        <w:tc>
          <w:tcPr>
            <w:tcW w:w="848" w:type="dxa"/>
            <w:tcBorders>
              <w:top w:val="single" w:sz="4" w:space="0" w:color="auto"/>
              <w:left w:val="nil"/>
              <w:bottom w:val="nil"/>
              <w:right w:val="nil"/>
            </w:tcBorders>
            <w:shd w:val="clear" w:color="auto" w:fill="auto"/>
            <w:noWrap/>
            <w:vAlign w:val="bottom"/>
            <w:hideMark/>
          </w:tcPr>
          <w:p w14:paraId="7218D22A" w14:textId="77777777" w:rsidR="00314E97" w:rsidRPr="009D3C6B" w:rsidRDefault="00314E97" w:rsidP="00D34032">
            <w:pPr>
              <w:jc w:val="right"/>
              <w:rPr>
                <w:lang w:val="id-ID" w:eastAsia="id-ID"/>
              </w:rPr>
            </w:pPr>
            <w:r w:rsidRPr="009D3C6B">
              <w:rPr>
                <w:lang w:val="id-ID" w:eastAsia="id-ID"/>
              </w:rPr>
              <w:t>2.726</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3D43873A" w14:textId="77777777" w:rsidR="00314E97" w:rsidRPr="009D3C6B" w:rsidRDefault="00314E97" w:rsidP="00D34032">
            <w:pPr>
              <w:jc w:val="right"/>
              <w:rPr>
                <w:lang w:val="id-ID" w:eastAsia="id-ID"/>
              </w:rPr>
            </w:pPr>
            <w:r w:rsidRPr="009D3C6B">
              <w:rPr>
                <w:lang w:val="id-ID" w:eastAsia="id-ID"/>
              </w:rPr>
              <w:t>2.860</w:t>
            </w:r>
          </w:p>
        </w:tc>
        <w:tc>
          <w:tcPr>
            <w:tcW w:w="993" w:type="dxa"/>
            <w:tcBorders>
              <w:top w:val="single" w:sz="4" w:space="0" w:color="auto"/>
              <w:left w:val="nil"/>
              <w:bottom w:val="nil"/>
              <w:right w:val="nil"/>
            </w:tcBorders>
            <w:shd w:val="clear" w:color="auto" w:fill="auto"/>
            <w:noWrap/>
            <w:vAlign w:val="bottom"/>
            <w:hideMark/>
          </w:tcPr>
          <w:p w14:paraId="62A78593" w14:textId="77777777" w:rsidR="00314E97" w:rsidRPr="009D3C6B" w:rsidRDefault="00314E97" w:rsidP="00D34032">
            <w:pPr>
              <w:rPr>
                <w:lang w:val="id-ID" w:eastAsia="id-ID"/>
              </w:rPr>
            </w:pPr>
            <w:r w:rsidRPr="009D3C6B">
              <w:rPr>
                <w:lang w:val="id-ID" w:eastAsia="id-ID"/>
              </w:rPr>
              <w:t xml:space="preserve">    3.010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4FBC3982" w14:textId="77777777" w:rsidR="00314E97" w:rsidRPr="009D3C6B" w:rsidRDefault="00314E97" w:rsidP="00D34032">
            <w:pPr>
              <w:jc w:val="right"/>
              <w:rPr>
                <w:lang w:val="id-ID" w:eastAsia="id-ID"/>
              </w:rPr>
            </w:pPr>
            <w:r w:rsidRPr="009D3C6B">
              <w:rPr>
                <w:lang w:val="id-ID" w:eastAsia="id-ID"/>
              </w:rPr>
              <w:t>3.123</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02F719A8" w14:textId="77777777" w:rsidR="00314E97" w:rsidRPr="009D3C6B" w:rsidRDefault="00314E97" w:rsidP="00D34032">
            <w:pPr>
              <w:jc w:val="center"/>
              <w:rPr>
                <w:lang w:val="id-ID" w:eastAsia="id-ID"/>
              </w:rPr>
            </w:pPr>
            <w:r w:rsidRPr="009D3C6B">
              <w:rPr>
                <w:lang w:val="id-ID" w:eastAsia="id-ID"/>
              </w:rPr>
              <w:t>2.805</w:t>
            </w:r>
          </w:p>
        </w:tc>
      </w:tr>
      <w:tr w:rsidR="00314E97" w:rsidRPr="009D3C6B" w14:paraId="0E9CCDA9" w14:textId="77777777" w:rsidTr="00477F24">
        <w:trPr>
          <w:trHeight w:val="315"/>
        </w:trPr>
        <w:tc>
          <w:tcPr>
            <w:tcW w:w="269" w:type="dxa"/>
            <w:tcBorders>
              <w:top w:val="single" w:sz="4" w:space="0" w:color="auto"/>
              <w:left w:val="single" w:sz="8" w:space="0" w:color="auto"/>
              <w:bottom w:val="nil"/>
              <w:right w:val="single" w:sz="8" w:space="0" w:color="auto"/>
            </w:tcBorders>
            <w:shd w:val="clear" w:color="000000" w:fill="FFFFFF"/>
            <w:noWrap/>
            <w:vAlign w:val="center"/>
            <w:hideMark/>
          </w:tcPr>
          <w:p w14:paraId="7D1F0A7A" w14:textId="77777777" w:rsidR="00314E97" w:rsidRPr="009D3C6B" w:rsidRDefault="00314E97" w:rsidP="00D34032">
            <w:pPr>
              <w:jc w:val="center"/>
              <w:rPr>
                <w:lang w:val="id-ID" w:eastAsia="id-ID"/>
              </w:rPr>
            </w:pPr>
            <w:r w:rsidRPr="009D3C6B">
              <w:rPr>
                <w:lang w:val="id-ID" w:eastAsia="id-ID"/>
              </w:rPr>
              <w:t>11</w:t>
            </w:r>
          </w:p>
        </w:tc>
        <w:tc>
          <w:tcPr>
            <w:tcW w:w="2111" w:type="dxa"/>
            <w:tcBorders>
              <w:top w:val="single" w:sz="4" w:space="0" w:color="auto"/>
              <w:left w:val="nil"/>
              <w:bottom w:val="nil"/>
              <w:right w:val="single" w:sz="8" w:space="0" w:color="auto"/>
            </w:tcBorders>
            <w:shd w:val="clear" w:color="000000" w:fill="FFFFFF"/>
            <w:noWrap/>
            <w:vAlign w:val="bottom"/>
            <w:hideMark/>
          </w:tcPr>
          <w:p w14:paraId="2AE1F71D" w14:textId="77777777" w:rsidR="00314E97" w:rsidRPr="009D3C6B" w:rsidRDefault="00314E97" w:rsidP="00D34032">
            <w:pPr>
              <w:rPr>
                <w:lang w:val="id-ID" w:eastAsia="id-ID"/>
              </w:rPr>
            </w:pPr>
            <w:r w:rsidRPr="009D3C6B">
              <w:rPr>
                <w:lang w:val="id-ID" w:eastAsia="id-ID"/>
              </w:rPr>
              <w:t>Ende</w:t>
            </w:r>
          </w:p>
        </w:tc>
        <w:tc>
          <w:tcPr>
            <w:tcW w:w="800" w:type="dxa"/>
            <w:tcBorders>
              <w:top w:val="single" w:sz="4" w:space="0" w:color="auto"/>
              <w:left w:val="nil"/>
              <w:bottom w:val="nil"/>
              <w:right w:val="nil"/>
            </w:tcBorders>
            <w:shd w:val="clear" w:color="000000" w:fill="FFFFFF"/>
            <w:noWrap/>
            <w:vAlign w:val="bottom"/>
            <w:hideMark/>
          </w:tcPr>
          <w:p w14:paraId="39D1D2B3" w14:textId="77777777" w:rsidR="00314E97" w:rsidRPr="009D3C6B" w:rsidRDefault="00314E97" w:rsidP="00D34032">
            <w:pPr>
              <w:rPr>
                <w:lang w:val="id-ID" w:eastAsia="id-ID"/>
              </w:rPr>
            </w:pPr>
            <w:r w:rsidRPr="009D3C6B">
              <w:rPr>
                <w:lang w:val="id-ID" w:eastAsia="id-ID"/>
              </w:rPr>
              <w:t xml:space="preserve">    3.077 </w:t>
            </w:r>
          </w:p>
        </w:tc>
        <w:tc>
          <w:tcPr>
            <w:tcW w:w="848" w:type="dxa"/>
            <w:tcBorders>
              <w:top w:val="single" w:sz="4" w:space="0" w:color="auto"/>
              <w:left w:val="single" w:sz="8" w:space="0" w:color="auto"/>
              <w:bottom w:val="nil"/>
              <w:right w:val="single" w:sz="8" w:space="0" w:color="auto"/>
            </w:tcBorders>
            <w:shd w:val="clear" w:color="000000" w:fill="FFFFFF"/>
            <w:noWrap/>
            <w:vAlign w:val="bottom"/>
            <w:hideMark/>
          </w:tcPr>
          <w:p w14:paraId="418CFB96" w14:textId="77777777" w:rsidR="00314E97" w:rsidRPr="009D3C6B" w:rsidRDefault="00314E97" w:rsidP="00D34032">
            <w:pPr>
              <w:jc w:val="right"/>
              <w:rPr>
                <w:lang w:val="id-ID" w:eastAsia="id-ID"/>
              </w:rPr>
            </w:pPr>
            <w:r w:rsidRPr="009D3C6B">
              <w:rPr>
                <w:lang w:val="id-ID" w:eastAsia="id-ID"/>
              </w:rPr>
              <w:t>3.231</w:t>
            </w:r>
          </w:p>
        </w:tc>
        <w:tc>
          <w:tcPr>
            <w:tcW w:w="848" w:type="dxa"/>
            <w:tcBorders>
              <w:top w:val="single" w:sz="4" w:space="0" w:color="auto"/>
              <w:left w:val="nil"/>
              <w:bottom w:val="nil"/>
              <w:right w:val="nil"/>
            </w:tcBorders>
            <w:shd w:val="clear" w:color="000000" w:fill="FFFFFF"/>
            <w:noWrap/>
            <w:vAlign w:val="bottom"/>
            <w:hideMark/>
          </w:tcPr>
          <w:p w14:paraId="589C8C2C" w14:textId="77777777" w:rsidR="00314E97" w:rsidRPr="009D3C6B" w:rsidRDefault="00314E97" w:rsidP="00D34032">
            <w:pPr>
              <w:jc w:val="right"/>
              <w:rPr>
                <w:lang w:val="id-ID" w:eastAsia="id-ID"/>
              </w:rPr>
            </w:pPr>
            <w:r w:rsidRPr="009D3C6B">
              <w:rPr>
                <w:lang w:val="id-ID" w:eastAsia="id-ID"/>
              </w:rPr>
              <w:t>3.395</w:t>
            </w:r>
          </w:p>
        </w:tc>
        <w:tc>
          <w:tcPr>
            <w:tcW w:w="847" w:type="dxa"/>
            <w:tcBorders>
              <w:top w:val="single" w:sz="4" w:space="0" w:color="auto"/>
              <w:left w:val="single" w:sz="8" w:space="0" w:color="auto"/>
              <w:bottom w:val="nil"/>
              <w:right w:val="single" w:sz="8" w:space="0" w:color="auto"/>
            </w:tcBorders>
            <w:shd w:val="clear" w:color="000000" w:fill="FFFFFF"/>
            <w:noWrap/>
            <w:vAlign w:val="bottom"/>
            <w:hideMark/>
          </w:tcPr>
          <w:p w14:paraId="08BA564B" w14:textId="77777777" w:rsidR="00314E97" w:rsidRPr="009D3C6B" w:rsidRDefault="00314E97" w:rsidP="00D34032">
            <w:pPr>
              <w:jc w:val="right"/>
              <w:rPr>
                <w:lang w:val="id-ID" w:eastAsia="id-ID"/>
              </w:rPr>
            </w:pPr>
            <w:r w:rsidRPr="009D3C6B">
              <w:rPr>
                <w:lang w:val="id-ID" w:eastAsia="id-ID"/>
              </w:rPr>
              <w:t>3.568</w:t>
            </w:r>
          </w:p>
        </w:tc>
        <w:tc>
          <w:tcPr>
            <w:tcW w:w="993" w:type="dxa"/>
            <w:tcBorders>
              <w:top w:val="single" w:sz="4" w:space="0" w:color="auto"/>
              <w:left w:val="nil"/>
              <w:bottom w:val="nil"/>
              <w:right w:val="nil"/>
            </w:tcBorders>
            <w:shd w:val="clear" w:color="000000" w:fill="FFFFFF"/>
            <w:noWrap/>
            <w:vAlign w:val="bottom"/>
            <w:hideMark/>
          </w:tcPr>
          <w:p w14:paraId="6F8D3AB5" w14:textId="77777777" w:rsidR="00314E97" w:rsidRPr="009D3C6B" w:rsidRDefault="00314E97" w:rsidP="00D34032">
            <w:pPr>
              <w:rPr>
                <w:lang w:val="id-ID" w:eastAsia="id-ID"/>
              </w:rPr>
            </w:pPr>
            <w:r w:rsidRPr="009D3C6B">
              <w:rPr>
                <w:lang w:val="id-ID" w:eastAsia="id-ID"/>
              </w:rPr>
              <w:t xml:space="preserve">    3.747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18122C31" w14:textId="77777777" w:rsidR="00314E97" w:rsidRPr="009D3C6B" w:rsidRDefault="00314E97" w:rsidP="00D34032">
            <w:pPr>
              <w:jc w:val="right"/>
              <w:rPr>
                <w:lang w:val="id-ID" w:eastAsia="id-ID"/>
              </w:rPr>
            </w:pPr>
            <w:r w:rsidRPr="009D3C6B">
              <w:rPr>
                <w:lang w:val="id-ID" w:eastAsia="id-ID"/>
              </w:rPr>
              <w:t>3.907</w:t>
            </w:r>
          </w:p>
        </w:tc>
        <w:tc>
          <w:tcPr>
            <w:tcW w:w="847" w:type="dxa"/>
            <w:tcBorders>
              <w:top w:val="single" w:sz="8" w:space="0" w:color="auto"/>
              <w:left w:val="nil"/>
              <w:bottom w:val="single" w:sz="4" w:space="0" w:color="auto"/>
              <w:right w:val="single" w:sz="8" w:space="0" w:color="auto"/>
            </w:tcBorders>
            <w:shd w:val="clear" w:color="000000" w:fill="FFFFFF"/>
            <w:noWrap/>
            <w:vAlign w:val="bottom"/>
            <w:hideMark/>
          </w:tcPr>
          <w:p w14:paraId="0C35FFA3" w14:textId="77777777" w:rsidR="00314E97" w:rsidRPr="009D3C6B" w:rsidRDefault="00314E97" w:rsidP="00D34032">
            <w:pPr>
              <w:jc w:val="center"/>
              <w:rPr>
                <w:lang w:val="id-ID" w:eastAsia="id-ID"/>
              </w:rPr>
            </w:pPr>
            <w:r w:rsidRPr="009D3C6B">
              <w:rPr>
                <w:lang w:val="id-ID" w:eastAsia="id-ID"/>
              </w:rPr>
              <w:t>3.488</w:t>
            </w:r>
          </w:p>
        </w:tc>
      </w:tr>
      <w:tr w:rsidR="00314E97" w:rsidRPr="009D3C6B" w14:paraId="4516A69F"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308A7DC6" w14:textId="77777777" w:rsidR="00314E97" w:rsidRPr="009D3C6B" w:rsidRDefault="00314E97" w:rsidP="00D34032">
            <w:pPr>
              <w:jc w:val="center"/>
              <w:rPr>
                <w:lang w:val="id-ID" w:eastAsia="id-ID"/>
              </w:rPr>
            </w:pPr>
            <w:r w:rsidRPr="009D3C6B">
              <w:rPr>
                <w:lang w:val="id-ID" w:eastAsia="id-ID"/>
              </w:rPr>
              <w:t>12</w:t>
            </w:r>
          </w:p>
        </w:tc>
        <w:tc>
          <w:tcPr>
            <w:tcW w:w="2111" w:type="dxa"/>
            <w:tcBorders>
              <w:top w:val="single" w:sz="4" w:space="0" w:color="auto"/>
              <w:left w:val="nil"/>
              <w:bottom w:val="nil"/>
              <w:right w:val="single" w:sz="8" w:space="0" w:color="auto"/>
            </w:tcBorders>
            <w:shd w:val="clear" w:color="auto" w:fill="auto"/>
            <w:noWrap/>
            <w:vAlign w:val="bottom"/>
            <w:hideMark/>
          </w:tcPr>
          <w:p w14:paraId="4C07E34E" w14:textId="77777777" w:rsidR="00314E97" w:rsidRPr="009D3C6B" w:rsidRDefault="00314E97" w:rsidP="00D34032">
            <w:pPr>
              <w:rPr>
                <w:lang w:val="id-ID" w:eastAsia="id-ID"/>
              </w:rPr>
            </w:pPr>
            <w:r w:rsidRPr="009D3C6B">
              <w:rPr>
                <w:lang w:val="id-ID" w:eastAsia="id-ID"/>
              </w:rPr>
              <w:t>Ngada</w:t>
            </w:r>
          </w:p>
        </w:tc>
        <w:tc>
          <w:tcPr>
            <w:tcW w:w="800" w:type="dxa"/>
            <w:tcBorders>
              <w:top w:val="single" w:sz="4" w:space="0" w:color="auto"/>
              <w:left w:val="nil"/>
              <w:bottom w:val="nil"/>
              <w:right w:val="nil"/>
            </w:tcBorders>
            <w:shd w:val="clear" w:color="auto" w:fill="auto"/>
            <w:noWrap/>
            <w:vAlign w:val="bottom"/>
            <w:hideMark/>
          </w:tcPr>
          <w:p w14:paraId="65A80106" w14:textId="77777777" w:rsidR="00314E97" w:rsidRPr="009D3C6B" w:rsidRDefault="00314E97" w:rsidP="00D34032">
            <w:pPr>
              <w:rPr>
                <w:lang w:val="id-ID" w:eastAsia="id-ID"/>
              </w:rPr>
            </w:pPr>
            <w:r w:rsidRPr="009D3C6B">
              <w:rPr>
                <w:lang w:val="id-ID" w:eastAsia="id-ID"/>
              </w:rPr>
              <w:t xml:space="preserve">    1.725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793C2D46" w14:textId="77777777" w:rsidR="00314E97" w:rsidRPr="009D3C6B" w:rsidRDefault="00314E97" w:rsidP="00D34032">
            <w:pPr>
              <w:jc w:val="right"/>
              <w:rPr>
                <w:lang w:val="id-ID" w:eastAsia="id-ID"/>
              </w:rPr>
            </w:pPr>
            <w:r w:rsidRPr="009D3C6B">
              <w:rPr>
                <w:lang w:val="id-ID" w:eastAsia="id-ID"/>
              </w:rPr>
              <w:t>1.809</w:t>
            </w:r>
          </w:p>
        </w:tc>
        <w:tc>
          <w:tcPr>
            <w:tcW w:w="848" w:type="dxa"/>
            <w:tcBorders>
              <w:top w:val="single" w:sz="4" w:space="0" w:color="auto"/>
              <w:left w:val="nil"/>
              <w:bottom w:val="nil"/>
              <w:right w:val="nil"/>
            </w:tcBorders>
            <w:shd w:val="clear" w:color="auto" w:fill="auto"/>
            <w:noWrap/>
            <w:vAlign w:val="bottom"/>
            <w:hideMark/>
          </w:tcPr>
          <w:p w14:paraId="14A1DE6D" w14:textId="77777777" w:rsidR="00314E97" w:rsidRPr="009D3C6B" w:rsidRDefault="00314E97" w:rsidP="00D34032">
            <w:pPr>
              <w:jc w:val="right"/>
              <w:rPr>
                <w:lang w:val="id-ID" w:eastAsia="id-ID"/>
              </w:rPr>
            </w:pPr>
            <w:r w:rsidRPr="009D3C6B">
              <w:rPr>
                <w:lang w:val="id-ID" w:eastAsia="id-ID"/>
              </w:rPr>
              <w:t>1.894</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20DEC927" w14:textId="77777777" w:rsidR="00314E97" w:rsidRPr="009D3C6B" w:rsidRDefault="00314E97" w:rsidP="00D34032">
            <w:pPr>
              <w:jc w:val="right"/>
              <w:rPr>
                <w:lang w:val="id-ID" w:eastAsia="id-ID"/>
              </w:rPr>
            </w:pPr>
            <w:r w:rsidRPr="009D3C6B">
              <w:rPr>
                <w:lang w:val="id-ID" w:eastAsia="id-ID"/>
              </w:rPr>
              <w:t>1.992</w:t>
            </w:r>
          </w:p>
        </w:tc>
        <w:tc>
          <w:tcPr>
            <w:tcW w:w="993" w:type="dxa"/>
            <w:tcBorders>
              <w:top w:val="single" w:sz="4" w:space="0" w:color="auto"/>
              <w:left w:val="nil"/>
              <w:bottom w:val="nil"/>
              <w:right w:val="nil"/>
            </w:tcBorders>
            <w:shd w:val="clear" w:color="auto" w:fill="auto"/>
            <w:noWrap/>
            <w:vAlign w:val="bottom"/>
            <w:hideMark/>
          </w:tcPr>
          <w:p w14:paraId="1DD79092" w14:textId="77777777" w:rsidR="00314E97" w:rsidRPr="009D3C6B" w:rsidRDefault="00314E97" w:rsidP="00D34032">
            <w:pPr>
              <w:rPr>
                <w:lang w:val="id-ID" w:eastAsia="id-ID"/>
              </w:rPr>
            </w:pPr>
            <w:r w:rsidRPr="009D3C6B">
              <w:rPr>
                <w:lang w:val="id-ID" w:eastAsia="id-ID"/>
              </w:rPr>
              <w:t xml:space="preserve">    2.090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71D1FBBD" w14:textId="77777777" w:rsidR="00314E97" w:rsidRPr="009D3C6B" w:rsidRDefault="00314E97" w:rsidP="00D34032">
            <w:pPr>
              <w:jc w:val="right"/>
              <w:rPr>
                <w:lang w:val="id-ID" w:eastAsia="id-ID"/>
              </w:rPr>
            </w:pPr>
            <w:r w:rsidRPr="009D3C6B">
              <w:rPr>
                <w:lang w:val="id-ID" w:eastAsia="id-ID"/>
              </w:rPr>
              <w:t>2.176</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1FB38589" w14:textId="77777777" w:rsidR="00314E97" w:rsidRPr="009D3C6B" w:rsidRDefault="00314E97" w:rsidP="00D34032">
            <w:pPr>
              <w:jc w:val="center"/>
              <w:rPr>
                <w:lang w:val="id-ID" w:eastAsia="id-ID"/>
              </w:rPr>
            </w:pPr>
            <w:r w:rsidRPr="009D3C6B">
              <w:rPr>
                <w:lang w:val="id-ID" w:eastAsia="id-ID"/>
              </w:rPr>
              <w:t>1.948</w:t>
            </w:r>
          </w:p>
        </w:tc>
      </w:tr>
      <w:tr w:rsidR="00314E97" w:rsidRPr="009D3C6B" w14:paraId="4F04FFD6"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1102F10A" w14:textId="77777777" w:rsidR="00314E97" w:rsidRPr="009D3C6B" w:rsidRDefault="00314E97" w:rsidP="00D34032">
            <w:pPr>
              <w:jc w:val="center"/>
              <w:rPr>
                <w:lang w:val="id-ID" w:eastAsia="id-ID"/>
              </w:rPr>
            </w:pPr>
            <w:r w:rsidRPr="009D3C6B">
              <w:rPr>
                <w:lang w:val="id-ID" w:eastAsia="id-ID"/>
              </w:rPr>
              <w:t>13</w:t>
            </w:r>
          </w:p>
        </w:tc>
        <w:tc>
          <w:tcPr>
            <w:tcW w:w="2111" w:type="dxa"/>
            <w:tcBorders>
              <w:top w:val="single" w:sz="4" w:space="0" w:color="auto"/>
              <w:left w:val="nil"/>
              <w:bottom w:val="nil"/>
              <w:right w:val="single" w:sz="8" w:space="0" w:color="auto"/>
            </w:tcBorders>
            <w:shd w:val="clear" w:color="auto" w:fill="auto"/>
            <w:noWrap/>
            <w:vAlign w:val="bottom"/>
            <w:hideMark/>
          </w:tcPr>
          <w:p w14:paraId="38E5C6DA" w14:textId="77777777" w:rsidR="00314E97" w:rsidRPr="009D3C6B" w:rsidRDefault="00314E97" w:rsidP="00D34032">
            <w:pPr>
              <w:rPr>
                <w:lang w:val="id-ID" w:eastAsia="id-ID"/>
              </w:rPr>
            </w:pPr>
            <w:r w:rsidRPr="009D3C6B">
              <w:rPr>
                <w:lang w:val="id-ID" w:eastAsia="id-ID"/>
              </w:rPr>
              <w:t>Manggarai</w:t>
            </w:r>
          </w:p>
        </w:tc>
        <w:tc>
          <w:tcPr>
            <w:tcW w:w="800" w:type="dxa"/>
            <w:tcBorders>
              <w:top w:val="single" w:sz="4" w:space="0" w:color="auto"/>
              <w:left w:val="nil"/>
              <w:bottom w:val="nil"/>
              <w:right w:val="nil"/>
            </w:tcBorders>
            <w:shd w:val="clear" w:color="auto" w:fill="auto"/>
            <w:noWrap/>
            <w:vAlign w:val="bottom"/>
            <w:hideMark/>
          </w:tcPr>
          <w:p w14:paraId="620A7834" w14:textId="77777777" w:rsidR="00314E97" w:rsidRPr="009D3C6B" w:rsidRDefault="00314E97" w:rsidP="00D34032">
            <w:pPr>
              <w:rPr>
                <w:lang w:val="id-ID" w:eastAsia="id-ID"/>
              </w:rPr>
            </w:pPr>
            <w:r w:rsidRPr="009D3C6B">
              <w:rPr>
                <w:lang w:val="id-ID" w:eastAsia="id-ID"/>
              </w:rPr>
              <w:t xml:space="preserve">    2.244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46B24905" w14:textId="77777777" w:rsidR="00314E97" w:rsidRPr="009D3C6B" w:rsidRDefault="00314E97" w:rsidP="00D34032">
            <w:pPr>
              <w:jc w:val="right"/>
              <w:rPr>
                <w:lang w:val="id-ID" w:eastAsia="id-ID"/>
              </w:rPr>
            </w:pPr>
            <w:r w:rsidRPr="009D3C6B">
              <w:rPr>
                <w:lang w:val="id-ID" w:eastAsia="id-ID"/>
              </w:rPr>
              <w:t>2.359</w:t>
            </w:r>
          </w:p>
        </w:tc>
        <w:tc>
          <w:tcPr>
            <w:tcW w:w="848" w:type="dxa"/>
            <w:tcBorders>
              <w:top w:val="single" w:sz="4" w:space="0" w:color="auto"/>
              <w:left w:val="nil"/>
              <w:bottom w:val="nil"/>
              <w:right w:val="nil"/>
            </w:tcBorders>
            <w:shd w:val="clear" w:color="auto" w:fill="auto"/>
            <w:noWrap/>
            <w:vAlign w:val="bottom"/>
            <w:hideMark/>
          </w:tcPr>
          <w:p w14:paraId="40A80E65" w14:textId="77777777" w:rsidR="00314E97" w:rsidRPr="009D3C6B" w:rsidRDefault="00314E97" w:rsidP="00D34032">
            <w:pPr>
              <w:jc w:val="right"/>
              <w:rPr>
                <w:lang w:val="id-ID" w:eastAsia="id-ID"/>
              </w:rPr>
            </w:pPr>
            <w:r w:rsidRPr="009D3C6B">
              <w:rPr>
                <w:lang w:val="id-ID" w:eastAsia="id-ID"/>
              </w:rPr>
              <w:t>2.477</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0A3D20C5" w14:textId="77777777" w:rsidR="00314E97" w:rsidRPr="009D3C6B" w:rsidRDefault="00314E97" w:rsidP="00D34032">
            <w:pPr>
              <w:jc w:val="right"/>
              <w:rPr>
                <w:lang w:val="id-ID" w:eastAsia="id-ID"/>
              </w:rPr>
            </w:pPr>
            <w:r w:rsidRPr="009D3C6B">
              <w:rPr>
                <w:lang w:val="id-ID" w:eastAsia="id-ID"/>
              </w:rPr>
              <w:t>2.603</w:t>
            </w:r>
          </w:p>
        </w:tc>
        <w:tc>
          <w:tcPr>
            <w:tcW w:w="993" w:type="dxa"/>
            <w:tcBorders>
              <w:top w:val="single" w:sz="4" w:space="0" w:color="auto"/>
              <w:left w:val="nil"/>
              <w:bottom w:val="nil"/>
              <w:right w:val="nil"/>
            </w:tcBorders>
            <w:shd w:val="clear" w:color="auto" w:fill="auto"/>
            <w:noWrap/>
            <w:vAlign w:val="bottom"/>
            <w:hideMark/>
          </w:tcPr>
          <w:p w14:paraId="661EE481" w14:textId="77777777" w:rsidR="00314E97" w:rsidRPr="009D3C6B" w:rsidRDefault="00314E97" w:rsidP="00D34032">
            <w:pPr>
              <w:rPr>
                <w:lang w:val="id-ID" w:eastAsia="id-ID"/>
              </w:rPr>
            </w:pPr>
            <w:r w:rsidRPr="009D3C6B">
              <w:rPr>
                <w:lang w:val="id-ID" w:eastAsia="id-ID"/>
              </w:rPr>
              <w:t xml:space="preserve">    2.736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4A3118E1" w14:textId="77777777" w:rsidR="00314E97" w:rsidRPr="009D3C6B" w:rsidRDefault="00314E97" w:rsidP="00D34032">
            <w:pPr>
              <w:jc w:val="right"/>
              <w:rPr>
                <w:lang w:val="id-ID" w:eastAsia="id-ID"/>
              </w:rPr>
            </w:pPr>
            <w:r w:rsidRPr="009D3C6B">
              <w:rPr>
                <w:lang w:val="id-ID" w:eastAsia="id-ID"/>
              </w:rPr>
              <w:t>2.852</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58945EC8" w14:textId="77777777" w:rsidR="00314E97" w:rsidRPr="009D3C6B" w:rsidRDefault="00314E97" w:rsidP="00D34032">
            <w:pPr>
              <w:jc w:val="center"/>
              <w:rPr>
                <w:lang w:val="id-ID" w:eastAsia="id-ID"/>
              </w:rPr>
            </w:pPr>
            <w:r w:rsidRPr="009D3C6B">
              <w:rPr>
                <w:lang w:val="id-ID" w:eastAsia="id-ID"/>
              </w:rPr>
              <w:t>2.545</w:t>
            </w:r>
          </w:p>
        </w:tc>
      </w:tr>
      <w:tr w:rsidR="00314E97" w:rsidRPr="009D3C6B" w14:paraId="539DD687"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0DD7A523" w14:textId="77777777" w:rsidR="00314E97" w:rsidRPr="009D3C6B" w:rsidRDefault="00314E97" w:rsidP="00D34032">
            <w:pPr>
              <w:jc w:val="center"/>
              <w:rPr>
                <w:lang w:val="id-ID" w:eastAsia="id-ID"/>
              </w:rPr>
            </w:pPr>
            <w:r w:rsidRPr="009D3C6B">
              <w:rPr>
                <w:lang w:val="id-ID" w:eastAsia="id-ID"/>
              </w:rPr>
              <w:t>14</w:t>
            </w:r>
          </w:p>
        </w:tc>
        <w:tc>
          <w:tcPr>
            <w:tcW w:w="2111" w:type="dxa"/>
            <w:tcBorders>
              <w:top w:val="single" w:sz="4" w:space="0" w:color="auto"/>
              <w:left w:val="nil"/>
              <w:bottom w:val="nil"/>
              <w:right w:val="single" w:sz="8" w:space="0" w:color="auto"/>
            </w:tcBorders>
            <w:shd w:val="clear" w:color="auto" w:fill="auto"/>
            <w:noWrap/>
            <w:vAlign w:val="bottom"/>
            <w:hideMark/>
          </w:tcPr>
          <w:p w14:paraId="24E6F4E0" w14:textId="77777777" w:rsidR="00314E97" w:rsidRPr="009D3C6B" w:rsidRDefault="00314E97" w:rsidP="00D34032">
            <w:pPr>
              <w:rPr>
                <w:lang w:val="id-ID" w:eastAsia="id-ID"/>
              </w:rPr>
            </w:pPr>
            <w:r w:rsidRPr="009D3C6B">
              <w:rPr>
                <w:lang w:val="id-ID" w:eastAsia="id-ID"/>
              </w:rPr>
              <w:t>Rote Ndao</w:t>
            </w:r>
          </w:p>
        </w:tc>
        <w:tc>
          <w:tcPr>
            <w:tcW w:w="800" w:type="dxa"/>
            <w:tcBorders>
              <w:top w:val="single" w:sz="4" w:space="0" w:color="auto"/>
              <w:left w:val="nil"/>
              <w:bottom w:val="nil"/>
              <w:right w:val="nil"/>
            </w:tcBorders>
            <w:shd w:val="clear" w:color="auto" w:fill="auto"/>
            <w:noWrap/>
            <w:vAlign w:val="bottom"/>
            <w:hideMark/>
          </w:tcPr>
          <w:p w14:paraId="4B4D01F4" w14:textId="77777777" w:rsidR="00314E97" w:rsidRPr="009D3C6B" w:rsidRDefault="00314E97" w:rsidP="00D34032">
            <w:pPr>
              <w:rPr>
                <w:lang w:val="id-ID" w:eastAsia="id-ID"/>
              </w:rPr>
            </w:pPr>
            <w:r w:rsidRPr="009D3C6B">
              <w:rPr>
                <w:lang w:val="id-ID" w:eastAsia="id-ID"/>
              </w:rPr>
              <w:t xml:space="preserve">    1.423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6450B98B" w14:textId="77777777" w:rsidR="00314E97" w:rsidRPr="009D3C6B" w:rsidRDefault="00314E97" w:rsidP="00D34032">
            <w:pPr>
              <w:jc w:val="right"/>
              <w:rPr>
                <w:lang w:val="id-ID" w:eastAsia="id-ID"/>
              </w:rPr>
            </w:pPr>
            <w:r w:rsidRPr="009D3C6B">
              <w:rPr>
                <w:lang w:val="id-ID" w:eastAsia="id-ID"/>
              </w:rPr>
              <w:t>1.492</w:t>
            </w:r>
          </w:p>
        </w:tc>
        <w:tc>
          <w:tcPr>
            <w:tcW w:w="848" w:type="dxa"/>
            <w:tcBorders>
              <w:top w:val="single" w:sz="4" w:space="0" w:color="auto"/>
              <w:left w:val="nil"/>
              <w:bottom w:val="nil"/>
              <w:right w:val="nil"/>
            </w:tcBorders>
            <w:shd w:val="clear" w:color="auto" w:fill="auto"/>
            <w:noWrap/>
            <w:vAlign w:val="bottom"/>
            <w:hideMark/>
          </w:tcPr>
          <w:p w14:paraId="07EAE36A" w14:textId="77777777" w:rsidR="00314E97" w:rsidRPr="009D3C6B" w:rsidRDefault="00314E97" w:rsidP="00D34032">
            <w:pPr>
              <w:jc w:val="right"/>
              <w:rPr>
                <w:lang w:val="id-ID" w:eastAsia="id-ID"/>
              </w:rPr>
            </w:pPr>
            <w:r w:rsidRPr="009D3C6B">
              <w:rPr>
                <w:lang w:val="id-ID" w:eastAsia="id-ID"/>
              </w:rPr>
              <w:t>1.568</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59230BC9" w14:textId="77777777" w:rsidR="00314E97" w:rsidRPr="009D3C6B" w:rsidRDefault="00314E97" w:rsidP="00D34032">
            <w:pPr>
              <w:jc w:val="right"/>
              <w:rPr>
                <w:lang w:val="id-ID" w:eastAsia="id-ID"/>
              </w:rPr>
            </w:pPr>
            <w:r w:rsidRPr="009D3C6B">
              <w:rPr>
                <w:lang w:val="id-ID" w:eastAsia="id-ID"/>
              </w:rPr>
              <w:t>1.648</w:t>
            </w:r>
          </w:p>
        </w:tc>
        <w:tc>
          <w:tcPr>
            <w:tcW w:w="993" w:type="dxa"/>
            <w:tcBorders>
              <w:top w:val="single" w:sz="4" w:space="0" w:color="auto"/>
              <w:left w:val="nil"/>
              <w:bottom w:val="nil"/>
              <w:right w:val="nil"/>
            </w:tcBorders>
            <w:shd w:val="clear" w:color="auto" w:fill="auto"/>
            <w:noWrap/>
            <w:vAlign w:val="bottom"/>
            <w:hideMark/>
          </w:tcPr>
          <w:p w14:paraId="3087F34A" w14:textId="77777777" w:rsidR="00314E97" w:rsidRPr="009D3C6B" w:rsidRDefault="00314E97" w:rsidP="00D34032">
            <w:pPr>
              <w:rPr>
                <w:lang w:val="id-ID" w:eastAsia="id-ID"/>
              </w:rPr>
            </w:pPr>
            <w:r w:rsidRPr="009D3C6B">
              <w:rPr>
                <w:lang w:val="id-ID" w:eastAsia="id-ID"/>
              </w:rPr>
              <w:t xml:space="preserve">    1.738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6A8D2C7B" w14:textId="77777777" w:rsidR="00314E97" w:rsidRPr="009D3C6B" w:rsidRDefault="00314E97" w:rsidP="00D34032">
            <w:pPr>
              <w:jc w:val="right"/>
              <w:rPr>
                <w:lang w:val="id-ID" w:eastAsia="id-ID"/>
              </w:rPr>
            </w:pPr>
            <w:r w:rsidRPr="009D3C6B">
              <w:rPr>
                <w:lang w:val="id-ID" w:eastAsia="id-ID"/>
              </w:rPr>
              <w:t>1.810</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44F05947" w14:textId="77777777" w:rsidR="00314E97" w:rsidRPr="009D3C6B" w:rsidRDefault="00314E97" w:rsidP="00D34032">
            <w:pPr>
              <w:jc w:val="center"/>
              <w:rPr>
                <w:lang w:val="id-ID" w:eastAsia="id-ID"/>
              </w:rPr>
            </w:pPr>
            <w:r w:rsidRPr="009D3C6B">
              <w:rPr>
                <w:lang w:val="id-ID" w:eastAsia="id-ID"/>
              </w:rPr>
              <w:t>1.613</w:t>
            </w:r>
          </w:p>
        </w:tc>
      </w:tr>
      <w:tr w:rsidR="00314E97" w:rsidRPr="009D3C6B" w14:paraId="4BEF698C"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693BDBCC" w14:textId="77777777" w:rsidR="00314E97" w:rsidRPr="009D3C6B" w:rsidRDefault="00314E97" w:rsidP="00D34032">
            <w:pPr>
              <w:jc w:val="center"/>
              <w:rPr>
                <w:lang w:val="id-ID" w:eastAsia="id-ID"/>
              </w:rPr>
            </w:pPr>
            <w:r w:rsidRPr="009D3C6B">
              <w:rPr>
                <w:lang w:val="id-ID" w:eastAsia="id-ID"/>
              </w:rPr>
              <w:t>15</w:t>
            </w:r>
          </w:p>
        </w:tc>
        <w:tc>
          <w:tcPr>
            <w:tcW w:w="2111" w:type="dxa"/>
            <w:tcBorders>
              <w:top w:val="single" w:sz="4" w:space="0" w:color="auto"/>
              <w:left w:val="nil"/>
              <w:bottom w:val="nil"/>
              <w:right w:val="single" w:sz="8" w:space="0" w:color="auto"/>
            </w:tcBorders>
            <w:shd w:val="clear" w:color="auto" w:fill="auto"/>
            <w:noWrap/>
            <w:vAlign w:val="bottom"/>
            <w:hideMark/>
          </w:tcPr>
          <w:p w14:paraId="386C0A62" w14:textId="77777777" w:rsidR="00314E97" w:rsidRPr="009D3C6B" w:rsidRDefault="00314E97" w:rsidP="00D34032">
            <w:pPr>
              <w:rPr>
                <w:lang w:val="id-ID" w:eastAsia="id-ID"/>
              </w:rPr>
            </w:pPr>
            <w:r w:rsidRPr="009D3C6B">
              <w:rPr>
                <w:lang w:val="id-ID" w:eastAsia="id-ID"/>
              </w:rPr>
              <w:t>Manggarai  Barat</w:t>
            </w:r>
          </w:p>
        </w:tc>
        <w:tc>
          <w:tcPr>
            <w:tcW w:w="800" w:type="dxa"/>
            <w:tcBorders>
              <w:top w:val="single" w:sz="4" w:space="0" w:color="auto"/>
              <w:left w:val="nil"/>
              <w:bottom w:val="nil"/>
              <w:right w:val="nil"/>
            </w:tcBorders>
            <w:shd w:val="clear" w:color="auto" w:fill="auto"/>
            <w:noWrap/>
            <w:vAlign w:val="bottom"/>
            <w:hideMark/>
          </w:tcPr>
          <w:p w14:paraId="23D7334F" w14:textId="77777777" w:rsidR="00314E97" w:rsidRPr="009D3C6B" w:rsidRDefault="00314E97" w:rsidP="00D34032">
            <w:pPr>
              <w:rPr>
                <w:lang w:val="id-ID" w:eastAsia="id-ID"/>
              </w:rPr>
            </w:pPr>
            <w:r w:rsidRPr="009D3C6B">
              <w:rPr>
                <w:lang w:val="id-ID" w:eastAsia="id-ID"/>
              </w:rPr>
              <w:t xml:space="preserve">    1.689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11D83226" w14:textId="77777777" w:rsidR="00314E97" w:rsidRPr="009D3C6B" w:rsidRDefault="00314E97" w:rsidP="00D34032">
            <w:pPr>
              <w:jc w:val="right"/>
              <w:rPr>
                <w:lang w:val="id-ID" w:eastAsia="id-ID"/>
              </w:rPr>
            </w:pPr>
            <w:r w:rsidRPr="009D3C6B">
              <w:rPr>
                <w:lang w:val="id-ID" w:eastAsia="id-ID"/>
              </w:rPr>
              <w:t>1.758</w:t>
            </w:r>
          </w:p>
        </w:tc>
        <w:tc>
          <w:tcPr>
            <w:tcW w:w="848" w:type="dxa"/>
            <w:tcBorders>
              <w:top w:val="single" w:sz="4" w:space="0" w:color="auto"/>
              <w:left w:val="nil"/>
              <w:bottom w:val="nil"/>
              <w:right w:val="nil"/>
            </w:tcBorders>
            <w:shd w:val="clear" w:color="auto" w:fill="auto"/>
            <w:noWrap/>
            <w:vAlign w:val="bottom"/>
            <w:hideMark/>
          </w:tcPr>
          <w:p w14:paraId="2E08841E" w14:textId="77777777" w:rsidR="00314E97" w:rsidRPr="009D3C6B" w:rsidRDefault="00314E97" w:rsidP="00D34032">
            <w:pPr>
              <w:jc w:val="right"/>
              <w:rPr>
                <w:lang w:val="id-ID" w:eastAsia="id-ID"/>
              </w:rPr>
            </w:pPr>
            <w:r w:rsidRPr="009D3C6B">
              <w:rPr>
                <w:lang w:val="id-ID" w:eastAsia="id-ID"/>
              </w:rPr>
              <w:t>1.836</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17C1421A" w14:textId="77777777" w:rsidR="00314E97" w:rsidRPr="009D3C6B" w:rsidRDefault="00314E97" w:rsidP="00D34032">
            <w:pPr>
              <w:jc w:val="right"/>
              <w:rPr>
                <w:lang w:val="id-ID" w:eastAsia="id-ID"/>
              </w:rPr>
            </w:pPr>
            <w:r w:rsidRPr="009D3C6B">
              <w:rPr>
                <w:lang w:val="id-ID" w:eastAsia="id-ID"/>
              </w:rPr>
              <w:t>1.923</w:t>
            </w:r>
          </w:p>
        </w:tc>
        <w:tc>
          <w:tcPr>
            <w:tcW w:w="993" w:type="dxa"/>
            <w:tcBorders>
              <w:top w:val="single" w:sz="4" w:space="0" w:color="auto"/>
              <w:left w:val="nil"/>
              <w:bottom w:val="nil"/>
              <w:right w:val="nil"/>
            </w:tcBorders>
            <w:shd w:val="clear" w:color="auto" w:fill="auto"/>
            <w:noWrap/>
            <w:vAlign w:val="bottom"/>
            <w:hideMark/>
          </w:tcPr>
          <w:p w14:paraId="6C1192B2" w14:textId="77777777" w:rsidR="00314E97" w:rsidRPr="009D3C6B" w:rsidRDefault="00314E97" w:rsidP="00D34032">
            <w:pPr>
              <w:rPr>
                <w:lang w:val="id-ID" w:eastAsia="id-ID"/>
              </w:rPr>
            </w:pPr>
            <w:r w:rsidRPr="009D3C6B">
              <w:rPr>
                <w:lang w:val="id-ID" w:eastAsia="id-ID"/>
              </w:rPr>
              <w:t xml:space="preserve">    2.022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793599CB" w14:textId="77777777" w:rsidR="00314E97" w:rsidRPr="009D3C6B" w:rsidRDefault="00314E97" w:rsidP="00D34032">
            <w:pPr>
              <w:jc w:val="right"/>
              <w:rPr>
                <w:lang w:val="id-ID" w:eastAsia="id-ID"/>
              </w:rPr>
            </w:pPr>
            <w:r w:rsidRPr="009D3C6B">
              <w:rPr>
                <w:lang w:val="id-ID" w:eastAsia="id-ID"/>
              </w:rPr>
              <w:t>2.095</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1859E694" w14:textId="77777777" w:rsidR="00314E97" w:rsidRPr="009D3C6B" w:rsidRDefault="00314E97" w:rsidP="00D34032">
            <w:pPr>
              <w:jc w:val="center"/>
              <w:rPr>
                <w:lang w:val="id-ID" w:eastAsia="id-ID"/>
              </w:rPr>
            </w:pPr>
            <w:r w:rsidRPr="009D3C6B">
              <w:rPr>
                <w:lang w:val="id-ID" w:eastAsia="id-ID"/>
              </w:rPr>
              <w:t>1.887</w:t>
            </w:r>
          </w:p>
        </w:tc>
      </w:tr>
      <w:tr w:rsidR="00314E97" w:rsidRPr="009D3C6B" w14:paraId="4C679BB5"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3AB0F906" w14:textId="77777777" w:rsidR="00314E97" w:rsidRPr="009D3C6B" w:rsidRDefault="00314E97" w:rsidP="00D34032">
            <w:pPr>
              <w:jc w:val="center"/>
              <w:rPr>
                <w:lang w:val="id-ID" w:eastAsia="id-ID"/>
              </w:rPr>
            </w:pPr>
            <w:r w:rsidRPr="009D3C6B">
              <w:rPr>
                <w:lang w:val="id-ID" w:eastAsia="id-ID"/>
              </w:rPr>
              <w:t>16</w:t>
            </w:r>
          </w:p>
        </w:tc>
        <w:tc>
          <w:tcPr>
            <w:tcW w:w="2111" w:type="dxa"/>
            <w:tcBorders>
              <w:top w:val="single" w:sz="4" w:space="0" w:color="auto"/>
              <w:left w:val="nil"/>
              <w:bottom w:val="nil"/>
              <w:right w:val="single" w:sz="8" w:space="0" w:color="auto"/>
            </w:tcBorders>
            <w:shd w:val="clear" w:color="auto" w:fill="auto"/>
            <w:noWrap/>
            <w:vAlign w:val="bottom"/>
            <w:hideMark/>
          </w:tcPr>
          <w:p w14:paraId="324E3ADD" w14:textId="77777777" w:rsidR="00314E97" w:rsidRPr="009D3C6B" w:rsidRDefault="00314E97" w:rsidP="00D34032">
            <w:pPr>
              <w:rPr>
                <w:lang w:val="id-ID" w:eastAsia="id-ID"/>
              </w:rPr>
            </w:pPr>
            <w:r w:rsidRPr="009D3C6B">
              <w:rPr>
                <w:lang w:val="id-ID" w:eastAsia="id-ID"/>
              </w:rPr>
              <w:t>Sumba Tengah</w:t>
            </w:r>
          </w:p>
        </w:tc>
        <w:tc>
          <w:tcPr>
            <w:tcW w:w="800" w:type="dxa"/>
            <w:tcBorders>
              <w:top w:val="single" w:sz="4" w:space="0" w:color="auto"/>
              <w:left w:val="nil"/>
              <w:bottom w:val="nil"/>
              <w:right w:val="nil"/>
            </w:tcBorders>
            <w:shd w:val="clear" w:color="auto" w:fill="auto"/>
            <w:noWrap/>
            <w:vAlign w:val="bottom"/>
            <w:hideMark/>
          </w:tcPr>
          <w:p w14:paraId="7E350866" w14:textId="77777777" w:rsidR="00314E97" w:rsidRPr="009D3C6B" w:rsidRDefault="00314E97" w:rsidP="00D34032">
            <w:pPr>
              <w:rPr>
                <w:lang w:val="id-ID" w:eastAsia="id-ID"/>
              </w:rPr>
            </w:pPr>
            <w:r w:rsidRPr="009D3C6B">
              <w:rPr>
                <w:lang w:val="id-ID" w:eastAsia="id-ID"/>
              </w:rPr>
              <w:t xml:space="preserve">        567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53902245" w14:textId="77777777" w:rsidR="00314E97" w:rsidRPr="009D3C6B" w:rsidRDefault="00314E97" w:rsidP="00D34032">
            <w:pPr>
              <w:jc w:val="right"/>
              <w:rPr>
                <w:lang w:val="id-ID" w:eastAsia="id-ID"/>
              </w:rPr>
            </w:pPr>
            <w:r w:rsidRPr="009D3C6B">
              <w:rPr>
                <w:lang w:val="id-ID" w:eastAsia="id-ID"/>
              </w:rPr>
              <w:t>591</w:t>
            </w:r>
          </w:p>
        </w:tc>
        <w:tc>
          <w:tcPr>
            <w:tcW w:w="848" w:type="dxa"/>
            <w:tcBorders>
              <w:top w:val="single" w:sz="4" w:space="0" w:color="auto"/>
              <w:left w:val="nil"/>
              <w:bottom w:val="nil"/>
              <w:right w:val="nil"/>
            </w:tcBorders>
            <w:shd w:val="clear" w:color="auto" w:fill="auto"/>
            <w:noWrap/>
            <w:vAlign w:val="bottom"/>
            <w:hideMark/>
          </w:tcPr>
          <w:p w14:paraId="5B7F9C96" w14:textId="77777777" w:rsidR="00314E97" w:rsidRPr="009D3C6B" w:rsidRDefault="00314E97" w:rsidP="00D34032">
            <w:pPr>
              <w:jc w:val="right"/>
              <w:rPr>
                <w:lang w:val="id-ID" w:eastAsia="id-ID"/>
              </w:rPr>
            </w:pPr>
            <w:r w:rsidRPr="009D3C6B">
              <w:rPr>
                <w:lang w:val="id-ID" w:eastAsia="id-ID"/>
              </w:rPr>
              <w:t>619</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49A7196F" w14:textId="77777777" w:rsidR="00314E97" w:rsidRPr="009D3C6B" w:rsidRDefault="00314E97" w:rsidP="00D34032">
            <w:pPr>
              <w:jc w:val="right"/>
              <w:rPr>
                <w:lang w:val="id-ID" w:eastAsia="id-ID"/>
              </w:rPr>
            </w:pPr>
            <w:r w:rsidRPr="009D3C6B">
              <w:rPr>
                <w:lang w:val="id-ID" w:eastAsia="id-ID"/>
              </w:rPr>
              <w:t>649</w:t>
            </w:r>
          </w:p>
        </w:tc>
        <w:tc>
          <w:tcPr>
            <w:tcW w:w="993" w:type="dxa"/>
            <w:tcBorders>
              <w:top w:val="single" w:sz="4" w:space="0" w:color="auto"/>
              <w:left w:val="nil"/>
              <w:bottom w:val="nil"/>
              <w:right w:val="nil"/>
            </w:tcBorders>
            <w:shd w:val="clear" w:color="auto" w:fill="auto"/>
            <w:noWrap/>
            <w:vAlign w:val="bottom"/>
            <w:hideMark/>
          </w:tcPr>
          <w:p w14:paraId="2A87833A" w14:textId="77777777" w:rsidR="00314E97" w:rsidRPr="009D3C6B" w:rsidRDefault="00314E97" w:rsidP="00D34032">
            <w:pPr>
              <w:rPr>
                <w:lang w:val="id-ID" w:eastAsia="id-ID"/>
              </w:rPr>
            </w:pPr>
            <w:r w:rsidRPr="009D3C6B">
              <w:rPr>
                <w:lang w:val="id-ID" w:eastAsia="id-ID"/>
              </w:rPr>
              <w:t xml:space="preserve">       681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2BC221FC" w14:textId="77777777" w:rsidR="00314E97" w:rsidRPr="009D3C6B" w:rsidRDefault="00314E97" w:rsidP="00D34032">
            <w:pPr>
              <w:jc w:val="right"/>
              <w:rPr>
                <w:lang w:val="id-ID" w:eastAsia="id-ID"/>
              </w:rPr>
            </w:pPr>
            <w:r w:rsidRPr="009D3C6B">
              <w:rPr>
                <w:lang w:val="id-ID" w:eastAsia="id-ID"/>
              </w:rPr>
              <w:t>707</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519E9930" w14:textId="77777777" w:rsidR="00314E97" w:rsidRPr="009D3C6B" w:rsidRDefault="00314E97" w:rsidP="00D34032">
            <w:pPr>
              <w:jc w:val="center"/>
              <w:rPr>
                <w:lang w:val="id-ID" w:eastAsia="id-ID"/>
              </w:rPr>
            </w:pPr>
            <w:r w:rsidRPr="009D3C6B">
              <w:rPr>
                <w:lang w:val="id-ID" w:eastAsia="id-ID"/>
              </w:rPr>
              <w:t>636</w:t>
            </w:r>
          </w:p>
        </w:tc>
      </w:tr>
      <w:tr w:rsidR="00314E97" w:rsidRPr="009D3C6B" w14:paraId="2AD40EF4"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3DCD3D5B" w14:textId="77777777" w:rsidR="00314E97" w:rsidRPr="009D3C6B" w:rsidRDefault="00314E97" w:rsidP="00D34032">
            <w:pPr>
              <w:jc w:val="center"/>
              <w:rPr>
                <w:lang w:val="id-ID" w:eastAsia="id-ID"/>
              </w:rPr>
            </w:pPr>
            <w:r w:rsidRPr="009D3C6B">
              <w:rPr>
                <w:lang w:val="id-ID" w:eastAsia="id-ID"/>
              </w:rPr>
              <w:t>17</w:t>
            </w:r>
          </w:p>
        </w:tc>
        <w:tc>
          <w:tcPr>
            <w:tcW w:w="2111" w:type="dxa"/>
            <w:tcBorders>
              <w:top w:val="single" w:sz="4" w:space="0" w:color="auto"/>
              <w:left w:val="nil"/>
              <w:bottom w:val="nil"/>
              <w:right w:val="single" w:sz="8" w:space="0" w:color="auto"/>
            </w:tcBorders>
            <w:shd w:val="clear" w:color="auto" w:fill="auto"/>
            <w:noWrap/>
            <w:vAlign w:val="bottom"/>
            <w:hideMark/>
          </w:tcPr>
          <w:p w14:paraId="05B7944B" w14:textId="77777777" w:rsidR="00314E97" w:rsidRPr="009D3C6B" w:rsidRDefault="00314E97" w:rsidP="00D34032">
            <w:pPr>
              <w:rPr>
                <w:lang w:val="id-ID" w:eastAsia="id-ID"/>
              </w:rPr>
            </w:pPr>
            <w:r w:rsidRPr="009D3C6B">
              <w:rPr>
                <w:lang w:val="id-ID" w:eastAsia="id-ID"/>
              </w:rPr>
              <w:t>Sumba  barat daya</w:t>
            </w:r>
          </w:p>
        </w:tc>
        <w:tc>
          <w:tcPr>
            <w:tcW w:w="800" w:type="dxa"/>
            <w:tcBorders>
              <w:top w:val="single" w:sz="4" w:space="0" w:color="auto"/>
              <w:left w:val="nil"/>
              <w:bottom w:val="nil"/>
              <w:right w:val="nil"/>
            </w:tcBorders>
            <w:shd w:val="clear" w:color="auto" w:fill="auto"/>
            <w:noWrap/>
            <w:vAlign w:val="bottom"/>
            <w:hideMark/>
          </w:tcPr>
          <w:p w14:paraId="6EC0B89E" w14:textId="77777777" w:rsidR="00314E97" w:rsidRPr="009D3C6B" w:rsidRDefault="00314E97" w:rsidP="00D34032">
            <w:pPr>
              <w:rPr>
                <w:lang w:val="id-ID" w:eastAsia="id-ID"/>
              </w:rPr>
            </w:pPr>
            <w:r w:rsidRPr="009D3C6B">
              <w:rPr>
                <w:lang w:val="id-ID" w:eastAsia="id-ID"/>
              </w:rPr>
              <w:t xml:space="preserve">    1.743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72776827" w14:textId="77777777" w:rsidR="00314E97" w:rsidRPr="009D3C6B" w:rsidRDefault="00314E97" w:rsidP="00D34032">
            <w:pPr>
              <w:jc w:val="right"/>
              <w:rPr>
                <w:lang w:val="id-ID" w:eastAsia="id-ID"/>
              </w:rPr>
            </w:pPr>
            <w:r w:rsidRPr="009D3C6B">
              <w:rPr>
                <w:lang w:val="id-ID" w:eastAsia="id-ID"/>
              </w:rPr>
              <w:t>1.812</w:t>
            </w:r>
          </w:p>
        </w:tc>
        <w:tc>
          <w:tcPr>
            <w:tcW w:w="848" w:type="dxa"/>
            <w:tcBorders>
              <w:top w:val="single" w:sz="4" w:space="0" w:color="auto"/>
              <w:left w:val="nil"/>
              <w:bottom w:val="nil"/>
              <w:right w:val="nil"/>
            </w:tcBorders>
            <w:shd w:val="clear" w:color="auto" w:fill="auto"/>
            <w:noWrap/>
            <w:vAlign w:val="bottom"/>
            <w:hideMark/>
          </w:tcPr>
          <w:p w14:paraId="69E38971" w14:textId="77777777" w:rsidR="00314E97" w:rsidRPr="009D3C6B" w:rsidRDefault="00314E97" w:rsidP="00D34032">
            <w:pPr>
              <w:jc w:val="right"/>
              <w:rPr>
                <w:lang w:val="id-ID" w:eastAsia="id-ID"/>
              </w:rPr>
            </w:pPr>
            <w:r w:rsidRPr="009D3C6B">
              <w:rPr>
                <w:lang w:val="id-ID" w:eastAsia="id-ID"/>
              </w:rPr>
              <w:t>1.896</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591C95D5" w14:textId="77777777" w:rsidR="00314E97" w:rsidRPr="009D3C6B" w:rsidRDefault="00314E97" w:rsidP="00D34032">
            <w:pPr>
              <w:jc w:val="right"/>
              <w:rPr>
                <w:lang w:val="id-ID" w:eastAsia="id-ID"/>
              </w:rPr>
            </w:pPr>
            <w:r w:rsidRPr="009D3C6B">
              <w:rPr>
                <w:lang w:val="id-ID" w:eastAsia="id-ID"/>
              </w:rPr>
              <w:t>1.991</w:t>
            </w:r>
          </w:p>
        </w:tc>
        <w:tc>
          <w:tcPr>
            <w:tcW w:w="993" w:type="dxa"/>
            <w:tcBorders>
              <w:top w:val="single" w:sz="4" w:space="0" w:color="auto"/>
              <w:left w:val="nil"/>
              <w:bottom w:val="nil"/>
              <w:right w:val="nil"/>
            </w:tcBorders>
            <w:shd w:val="clear" w:color="auto" w:fill="auto"/>
            <w:noWrap/>
            <w:vAlign w:val="bottom"/>
            <w:hideMark/>
          </w:tcPr>
          <w:p w14:paraId="38ACE7CB" w14:textId="77777777" w:rsidR="00314E97" w:rsidRPr="009D3C6B" w:rsidRDefault="00314E97" w:rsidP="00D34032">
            <w:pPr>
              <w:rPr>
                <w:lang w:val="id-ID" w:eastAsia="id-ID"/>
              </w:rPr>
            </w:pPr>
            <w:r w:rsidRPr="009D3C6B">
              <w:rPr>
                <w:lang w:val="id-ID" w:eastAsia="id-ID"/>
              </w:rPr>
              <w:t xml:space="preserve">    2.101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5C45214C" w14:textId="77777777" w:rsidR="00314E97" w:rsidRPr="009D3C6B" w:rsidRDefault="00314E97" w:rsidP="00D34032">
            <w:pPr>
              <w:jc w:val="right"/>
              <w:rPr>
                <w:lang w:val="id-ID" w:eastAsia="id-ID"/>
              </w:rPr>
            </w:pPr>
            <w:r w:rsidRPr="009D3C6B">
              <w:rPr>
                <w:lang w:val="id-ID" w:eastAsia="id-ID"/>
              </w:rPr>
              <w:t>2.117</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631B568B" w14:textId="77777777" w:rsidR="00314E97" w:rsidRPr="009D3C6B" w:rsidRDefault="00314E97" w:rsidP="00D34032">
            <w:pPr>
              <w:jc w:val="center"/>
              <w:rPr>
                <w:lang w:val="id-ID" w:eastAsia="id-ID"/>
              </w:rPr>
            </w:pPr>
            <w:r w:rsidRPr="009D3C6B">
              <w:rPr>
                <w:lang w:val="id-ID" w:eastAsia="id-ID"/>
              </w:rPr>
              <w:t>1.943</w:t>
            </w:r>
          </w:p>
        </w:tc>
      </w:tr>
      <w:tr w:rsidR="00314E97" w:rsidRPr="009D3C6B" w14:paraId="229F7CF3"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244E752B" w14:textId="77777777" w:rsidR="00314E97" w:rsidRPr="009D3C6B" w:rsidRDefault="00314E97" w:rsidP="00D34032">
            <w:pPr>
              <w:jc w:val="center"/>
              <w:rPr>
                <w:lang w:val="id-ID" w:eastAsia="id-ID"/>
              </w:rPr>
            </w:pPr>
            <w:r w:rsidRPr="009D3C6B">
              <w:rPr>
                <w:lang w:val="id-ID" w:eastAsia="id-ID"/>
              </w:rPr>
              <w:t>18</w:t>
            </w:r>
          </w:p>
        </w:tc>
        <w:tc>
          <w:tcPr>
            <w:tcW w:w="2111" w:type="dxa"/>
            <w:tcBorders>
              <w:top w:val="single" w:sz="4" w:space="0" w:color="auto"/>
              <w:left w:val="nil"/>
              <w:bottom w:val="nil"/>
              <w:right w:val="single" w:sz="8" w:space="0" w:color="auto"/>
            </w:tcBorders>
            <w:shd w:val="clear" w:color="auto" w:fill="auto"/>
            <w:noWrap/>
            <w:vAlign w:val="bottom"/>
            <w:hideMark/>
          </w:tcPr>
          <w:p w14:paraId="70F1B3E2" w14:textId="77777777" w:rsidR="00314E97" w:rsidRPr="009D3C6B" w:rsidRDefault="00314E97" w:rsidP="00D34032">
            <w:pPr>
              <w:rPr>
                <w:lang w:val="id-ID" w:eastAsia="id-ID"/>
              </w:rPr>
            </w:pPr>
            <w:r w:rsidRPr="009D3C6B">
              <w:rPr>
                <w:lang w:val="id-ID" w:eastAsia="id-ID"/>
              </w:rPr>
              <w:t>Nagekeo</w:t>
            </w:r>
          </w:p>
        </w:tc>
        <w:tc>
          <w:tcPr>
            <w:tcW w:w="800" w:type="dxa"/>
            <w:tcBorders>
              <w:top w:val="single" w:sz="4" w:space="0" w:color="auto"/>
              <w:left w:val="nil"/>
              <w:bottom w:val="nil"/>
              <w:right w:val="nil"/>
            </w:tcBorders>
            <w:shd w:val="clear" w:color="auto" w:fill="auto"/>
            <w:noWrap/>
            <w:vAlign w:val="bottom"/>
            <w:hideMark/>
          </w:tcPr>
          <w:p w14:paraId="038EC6F6" w14:textId="77777777" w:rsidR="00314E97" w:rsidRPr="009D3C6B" w:rsidRDefault="00314E97" w:rsidP="00D34032">
            <w:pPr>
              <w:rPr>
                <w:lang w:val="id-ID" w:eastAsia="id-ID"/>
              </w:rPr>
            </w:pPr>
            <w:r w:rsidRPr="009D3C6B">
              <w:rPr>
                <w:lang w:val="id-ID" w:eastAsia="id-ID"/>
              </w:rPr>
              <w:t xml:space="preserve">    1.046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17738763" w14:textId="77777777" w:rsidR="00314E97" w:rsidRPr="009D3C6B" w:rsidRDefault="00314E97" w:rsidP="00D34032">
            <w:pPr>
              <w:jc w:val="right"/>
              <w:rPr>
                <w:lang w:val="id-ID" w:eastAsia="id-ID"/>
              </w:rPr>
            </w:pPr>
            <w:r w:rsidRPr="009D3C6B">
              <w:rPr>
                <w:lang w:val="id-ID" w:eastAsia="id-ID"/>
              </w:rPr>
              <w:t>1.094</w:t>
            </w:r>
          </w:p>
        </w:tc>
        <w:tc>
          <w:tcPr>
            <w:tcW w:w="848" w:type="dxa"/>
            <w:tcBorders>
              <w:top w:val="single" w:sz="4" w:space="0" w:color="auto"/>
              <w:left w:val="nil"/>
              <w:bottom w:val="nil"/>
              <w:right w:val="nil"/>
            </w:tcBorders>
            <w:shd w:val="clear" w:color="auto" w:fill="auto"/>
            <w:noWrap/>
            <w:vAlign w:val="bottom"/>
            <w:hideMark/>
          </w:tcPr>
          <w:p w14:paraId="461DA766" w14:textId="77777777" w:rsidR="00314E97" w:rsidRPr="009D3C6B" w:rsidRDefault="00314E97" w:rsidP="00D34032">
            <w:pPr>
              <w:jc w:val="right"/>
              <w:rPr>
                <w:lang w:val="id-ID" w:eastAsia="id-ID"/>
              </w:rPr>
            </w:pPr>
            <w:r w:rsidRPr="009D3C6B">
              <w:rPr>
                <w:lang w:val="id-ID" w:eastAsia="id-ID"/>
              </w:rPr>
              <w:t>1.144</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7AABC400" w14:textId="77777777" w:rsidR="00314E97" w:rsidRPr="009D3C6B" w:rsidRDefault="00314E97" w:rsidP="00D34032">
            <w:pPr>
              <w:jc w:val="right"/>
              <w:rPr>
                <w:lang w:val="id-ID" w:eastAsia="id-ID"/>
              </w:rPr>
            </w:pPr>
            <w:r w:rsidRPr="009D3C6B">
              <w:rPr>
                <w:lang w:val="id-ID" w:eastAsia="id-ID"/>
              </w:rPr>
              <w:t>1.196</w:t>
            </w:r>
          </w:p>
        </w:tc>
        <w:tc>
          <w:tcPr>
            <w:tcW w:w="993" w:type="dxa"/>
            <w:tcBorders>
              <w:top w:val="single" w:sz="4" w:space="0" w:color="auto"/>
              <w:left w:val="nil"/>
              <w:bottom w:val="nil"/>
              <w:right w:val="nil"/>
            </w:tcBorders>
            <w:shd w:val="clear" w:color="auto" w:fill="auto"/>
            <w:noWrap/>
            <w:vAlign w:val="bottom"/>
            <w:hideMark/>
          </w:tcPr>
          <w:p w14:paraId="2A8B2CF0" w14:textId="77777777" w:rsidR="00314E97" w:rsidRPr="009D3C6B" w:rsidRDefault="00314E97" w:rsidP="00D34032">
            <w:pPr>
              <w:rPr>
                <w:lang w:val="id-ID" w:eastAsia="id-ID"/>
              </w:rPr>
            </w:pPr>
            <w:r w:rsidRPr="009D3C6B">
              <w:rPr>
                <w:lang w:val="id-ID" w:eastAsia="id-ID"/>
              </w:rPr>
              <w:t xml:space="preserve">    1.255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3847AD1C" w14:textId="77777777" w:rsidR="00314E97" w:rsidRPr="009D3C6B" w:rsidRDefault="00314E97" w:rsidP="00D34032">
            <w:pPr>
              <w:jc w:val="right"/>
              <w:rPr>
                <w:lang w:val="id-ID" w:eastAsia="id-ID"/>
              </w:rPr>
            </w:pPr>
            <w:r w:rsidRPr="009D3C6B">
              <w:rPr>
                <w:lang w:val="id-ID" w:eastAsia="id-ID"/>
              </w:rPr>
              <w:t>1.303</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30C8CE4F" w14:textId="77777777" w:rsidR="00314E97" w:rsidRPr="009D3C6B" w:rsidRDefault="00314E97" w:rsidP="00D34032">
            <w:pPr>
              <w:jc w:val="center"/>
              <w:rPr>
                <w:lang w:val="id-ID" w:eastAsia="id-ID"/>
              </w:rPr>
            </w:pPr>
            <w:r w:rsidRPr="009D3C6B">
              <w:rPr>
                <w:lang w:val="id-ID" w:eastAsia="id-ID"/>
              </w:rPr>
              <w:t>1.173</w:t>
            </w:r>
          </w:p>
        </w:tc>
      </w:tr>
      <w:tr w:rsidR="00314E97" w:rsidRPr="009D3C6B" w14:paraId="6B09F6A6"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5B893E5B" w14:textId="77777777" w:rsidR="00314E97" w:rsidRPr="009D3C6B" w:rsidRDefault="00314E97" w:rsidP="00D34032">
            <w:pPr>
              <w:jc w:val="center"/>
              <w:rPr>
                <w:lang w:val="id-ID" w:eastAsia="id-ID"/>
              </w:rPr>
            </w:pPr>
            <w:r w:rsidRPr="009D3C6B">
              <w:rPr>
                <w:lang w:val="id-ID" w:eastAsia="id-ID"/>
              </w:rPr>
              <w:t>19</w:t>
            </w:r>
          </w:p>
        </w:tc>
        <w:tc>
          <w:tcPr>
            <w:tcW w:w="2111" w:type="dxa"/>
            <w:tcBorders>
              <w:top w:val="single" w:sz="4" w:space="0" w:color="auto"/>
              <w:left w:val="nil"/>
              <w:bottom w:val="nil"/>
              <w:right w:val="single" w:sz="8" w:space="0" w:color="auto"/>
            </w:tcBorders>
            <w:shd w:val="clear" w:color="auto" w:fill="auto"/>
            <w:noWrap/>
            <w:vAlign w:val="bottom"/>
            <w:hideMark/>
          </w:tcPr>
          <w:p w14:paraId="3B2A1F39" w14:textId="77777777" w:rsidR="00314E97" w:rsidRPr="009D3C6B" w:rsidRDefault="00314E97" w:rsidP="00D34032">
            <w:pPr>
              <w:rPr>
                <w:lang w:val="id-ID" w:eastAsia="id-ID"/>
              </w:rPr>
            </w:pPr>
            <w:r w:rsidRPr="009D3C6B">
              <w:rPr>
                <w:lang w:val="id-ID" w:eastAsia="id-ID"/>
              </w:rPr>
              <w:t>Manggarai  Timur</w:t>
            </w:r>
          </w:p>
        </w:tc>
        <w:tc>
          <w:tcPr>
            <w:tcW w:w="800" w:type="dxa"/>
            <w:tcBorders>
              <w:top w:val="single" w:sz="4" w:space="0" w:color="auto"/>
              <w:left w:val="nil"/>
              <w:bottom w:val="nil"/>
              <w:right w:val="nil"/>
            </w:tcBorders>
            <w:shd w:val="clear" w:color="auto" w:fill="auto"/>
            <w:noWrap/>
            <w:vAlign w:val="bottom"/>
            <w:hideMark/>
          </w:tcPr>
          <w:p w14:paraId="59FC9257" w14:textId="77777777" w:rsidR="00314E97" w:rsidRPr="009D3C6B" w:rsidRDefault="00314E97" w:rsidP="00D34032">
            <w:pPr>
              <w:rPr>
                <w:lang w:val="id-ID" w:eastAsia="id-ID"/>
              </w:rPr>
            </w:pPr>
            <w:r w:rsidRPr="009D3C6B">
              <w:rPr>
                <w:lang w:val="id-ID" w:eastAsia="id-ID"/>
              </w:rPr>
              <w:t xml:space="preserve">    1.503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4986FC21" w14:textId="77777777" w:rsidR="00314E97" w:rsidRPr="009D3C6B" w:rsidRDefault="00314E97" w:rsidP="00D34032">
            <w:pPr>
              <w:jc w:val="right"/>
              <w:rPr>
                <w:lang w:val="id-ID" w:eastAsia="id-ID"/>
              </w:rPr>
            </w:pPr>
            <w:r w:rsidRPr="009D3C6B">
              <w:rPr>
                <w:lang w:val="id-ID" w:eastAsia="id-ID"/>
              </w:rPr>
              <w:t>1.582</w:t>
            </w:r>
          </w:p>
        </w:tc>
        <w:tc>
          <w:tcPr>
            <w:tcW w:w="848" w:type="dxa"/>
            <w:tcBorders>
              <w:top w:val="single" w:sz="4" w:space="0" w:color="auto"/>
              <w:left w:val="nil"/>
              <w:bottom w:val="nil"/>
              <w:right w:val="nil"/>
            </w:tcBorders>
            <w:shd w:val="clear" w:color="auto" w:fill="auto"/>
            <w:noWrap/>
            <w:vAlign w:val="bottom"/>
            <w:hideMark/>
          </w:tcPr>
          <w:p w14:paraId="5A8366BD" w14:textId="77777777" w:rsidR="00314E97" w:rsidRPr="009D3C6B" w:rsidRDefault="00314E97" w:rsidP="00D34032">
            <w:pPr>
              <w:jc w:val="right"/>
              <w:rPr>
                <w:lang w:val="id-ID" w:eastAsia="id-ID"/>
              </w:rPr>
            </w:pPr>
            <w:r w:rsidRPr="009D3C6B">
              <w:rPr>
                <w:lang w:val="id-ID" w:eastAsia="id-ID"/>
              </w:rPr>
              <w:t>1.662</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7E0937F3" w14:textId="77777777" w:rsidR="00314E97" w:rsidRPr="009D3C6B" w:rsidRDefault="00314E97" w:rsidP="00D34032">
            <w:pPr>
              <w:jc w:val="right"/>
              <w:rPr>
                <w:lang w:val="id-ID" w:eastAsia="id-ID"/>
              </w:rPr>
            </w:pPr>
            <w:r w:rsidRPr="009D3C6B">
              <w:rPr>
                <w:lang w:val="id-ID" w:eastAsia="id-ID"/>
              </w:rPr>
              <w:t>1.748</w:t>
            </w:r>
          </w:p>
        </w:tc>
        <w:tc>
          <w:tcPr>
            <w:tcW w:w="993" w:type="dxa"/>
            <w:tcBorders>
              <w:top w:val="single" w:sz="4" w:space="0" w:color="auto"/>
              <w:left w:val="nil"/>
              <w:bottom w:val="nil"/>
              <w:right w:val="nil"/>
            </w:tcBorders>
            <w:shd w:val="clear" w:color="auto" w:fill="auto"/>
            <w:noWrap/>
            <w:vAlign w:val="bottom"/>
            <w:hideMark/>
          </w:tcPr>
          <w:p w14:paraId="42B45692" w14:textId="77777777" w:rsidR="00314E97" w:rsidRPr="009D3C6B" w:rsidRDefault="00314E97" w:rsidP="00D34032">
            <w:pPr>
              <w:rPr>
                <w:lang w:val="id-ID" w:eastAsia="id-ID"/>
              </w:rPr>
            </w:pPr>
            <w:r w:rsidRPr="009D3C6B">
              <w:rPr>
                <w:lang w:val="id-ID" w:eastAsia="id-ID"/>
              </w:rPr>
              <w:t xml:space="preserve">    1.839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1B69EB18" w14:textId="77777777" w:rsidR="00314E97" w:rsidRPr="009D3C6B" w:rsidRDefault="00314E97" w:rsidP="00D34032">
            <w:pPr>
              <w:jc w:val="right"/>
              <w:rPr>
                <w:lang w:val="id-ID" w:eastAsia="id-ID"/>
              </w:rPr>
            </w:pPr>
            <w:r w:rsidRPr="009D3C6B">
              <w:rPr>
                <w:lang w:val="id-ID" w:eastAsia="id-ID"/>
              </w:rPr>
              <w:t>1.917</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496CB935" w14:textId="77777777" w:rsidR="00314E97" w:rsidRPr="009D3C6B" w:rsidRDefault="00314E97" w:rsidP="00D34032">
            <w:pPr>
              <w:jc w:val="center"/>
              <w:rPr>
                <w:lang w:val="id-ID" w:eastAsia="id-ID"/>
              </w:rPr>
            </w:pPr>
            <w:r w:rsidRPr="009D3C6B">
              <w:rPr>
                <w:lang w:val="id-ID" w:eastAsia="id-ID"/>
              </w:rPr>
              <w:t>1.709</w:t>
            </w:r>
          </w:p>
        </w:tc>
      </w:tr>
      <w:tr w:rsidR="00314E97" w:rsidRPr="009D3C6B" w14:paraId="77DDFAD4"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78483AAF" w14:textId="77777777" w:rsidR="00314E97" w:rsidRPr="009D3C6B" w:rsidRDefault="00314E97" w:rsidP="00D34032">
            <w:pPr>
              <w:jc w:val="center"/>
              <w:rPr>
                <w:lang w:val="id-ID" w:eastAsia="id-ID"/>
              </w:rPr>
            </w:pPr>
            <w:r w:rsidRPr="009D3C6B">
              <w:rPr>
                <w:lang w:val="id-ID" w:eastAsia="id-ID"/>
              </w:rPr>
              <w:t>20</w:t>
            </w:r>
          </w:p>
        </w:tc>
        <w:tc>
          <w:tcPr>
            <w:tcW w:w="2111" w:type="dxa"/>
            <w:tcBorders>
              <w:top w:val="single" w:sz="4" w:space="0" w:color="auto"/>
              <w:left w:val="nil"/>
              <w:bottom w:val="nil"/>
              <w:right w:val="single" w:sz="8" w:space="0" w:color="auto"/>
            </w:tcBorders>
            <w:shd w:val="clear" w:color="auto" w:fill="auto"/>
            <w:noWrap/>
            <w:vAlign w:val="bottom"/>
            <w:hideMark/>
          </w:tcPr>
          <w:p w14:paraId="0600397F" w14:textId="77777777" w:rsidR="00314E97" w:rsidRPr="009D3C6B" w:rsidRDefault="00314E97" w:rsidP="00D34032">
            <w:pPr>
              <w:rPr>
                <w:lang w:val="id-ID" w:eastAsia="id-ID"/>
              </w:rPr>
            </w:pPr>
            <w:r w:rsidRPr="009D3C6B">
              <w:rPr>
                <w:lang w:val="id-ID" w:eastAsia="id-ID"/>
              </w:rPr>
              <w:t>Sabu Raijua</w:t>
            </w:r>
          </w:p>
        </w:tc>
        <w:tc>
          <w:tcPr>
            <w:tcW w:w="800" w:type="dxa"/>
            <w:tcBorders>
              <w:top w:val="single" w:sz="4" w:space="0" w:color="auto"/>
              <w:left w:val="nil"/>
              <w:bottom w:val="nil"/>
              <w:right w:val="nil"/>
            </w:tcBorders>
            <w:shd w:val="clear" w:color="auto" w:fill="auto"/>
            <w:noWrap/>
            <w:vAlign w:val="bottom"/>
            <w:hideMark/>
          </w:tcPr>
          <w:p w14:paraId="51AA8298" w14:textId="77777777" w:rsidR="00314E97" w:rsidRPr="009D3C6B" w:rsidRDefault="00314E97" w:rsidP="00D34032">
            <w:pPr>
              <w:rPr>
                <w:lang w:val="id-ID" w:eastAsia="id-ID"/>
              </w:rPr>
            </w:pPr>
            <w:r w:rsidRPr="009D3C6B">
              <w:rPr>
                <w:lang w:val="id-ID" w:eastAsia="id-ID"/>
              </w:rPr>
              <w:t xml:space="preserve">        584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1560E9AC" w14:textId="77777777" w:rsidR="00314E97" w:rsidRPr="009D3C6B" w:rsidRDefault="00314E97" w:rsidP="00D34032">
            <w:pPr>
              <w:jc w:val="right"/>
              <w:rPr>
                <w:lang w:val="id-ID" w:eastAsia="id-ID"/>
              </w:rPr>
            </w:pPr>
            <w:r w:rsidRPr="009D3C6B">
              <w:rPr>
                <w:lang w:val="id-ID" w:eastAsia="id-ID"/>
              </w:rPr>
              <w:t>614</w:t>
            </w:r>
          </w:p>
        </w:tc>
        <w:tc>
          <w:tcPr>
            <w:tcW w:w="848" w:type="dxa"/>
            <w:tcBorders>
              <w:top w:val="single" w:sz="4" w:space="0" w:color="auto"/>
              <w:left w:val="nil"/>
              <w:bottom w:val="nil"/>
              <w:right w:val="nil"/>
            </w:tcBorders>
            <w:shd w:val="clear" w:color="auto" w:fill="auto"/>
            <w:noWrap/>
            <w:vAlign w:val="bottom"/>
            <w:hideMark/>
          </w:tcPr>
          <w:p w14:paraId="41F126E7" w14:textId="77777777" w:rsidR="00314E97" w:rsidRPr="009D3C6B" w:rsidRDefault="00314E97" w:rsidP="00D34032">
            <w:pPr>
              <w:jc w:val="right"/>
              <w:rPr>
                <w:lang w:val="id-ID" w:eastAsia="id-ID"/>
              </w:rPr>
            </w:pPr>
            <w:r w:rsidRPr="009D3C6B">
              <w:rPr>
                <w:lang w:val="id-ID" w:eastAsia="id-ID"/>
              </w:rPr>
              <w:t>645</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5B6E4754" w14:textId="77777777" w:rsidR="00314E97" w:rsidRPr="009D3C6B" w:rsidRDefault="00314E97" w:rsidP="00D34032">
            <w:pPr>
              <w:jc w:val="right"/>
              <w:rPr>
                <w:lang w:val="id-ID" w:eastAsia="id-ID"/>
              </w:rPr>
            </w:pPr>
            <w:r w:rsidRPr="009D3C6B">
              <w:rPr>
                <w:lang w:val="id-ID" w:eastAsia="id-ID"/>
              </w:rPr>
              <w:t>678</w:t>
            </w:r>
          </w:p>
        </w:tc>
        <w:tc>
          <w:tcPr>
            <w:tcW w:w="993" w:type="dxa"/>
            <w:tcBorders>
              <w:top w:val="single" w:sz="4" w:space="0" w:color="auto"/>
              <w:left w:val="nil"/>
              <w:bottom w:val="nil"/>
              <w:right w:val="nil"/>
            </w:tcBorders>
            <w:shd w:val="clear" w:color="auto" w:fill="auto"/>
            <w:noWrap/>
            <w:vAlign w:val="bottom"/>
            <w:hideMark/>
          </w:tcPr>
          <w:p w14:paraId="30B3526F" w14:textId="77777777" w:rsidR="00314E97" w:rsidRPr="009D3C6B" w:rsidRDefault="00314E97" w:rsidP="00D34032">
            <w:pPr>
              <w:rPr>
                <w:lang w:val="id-ID" w:eastAsia="id-ID"/>
              </w:rPr>
            </w:pPr>
            <w:r w:rsidRPr="009D3C6B">
              <w:rPr>
                <w:lang w:val="id-ID" w:eastAsia="id-ID"/>
              </w:rPr>
              <w:t xml:space="preserve">       712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6A6E3BE5" w14:textId="77777777" w:rsidR="00314E97" w:rsidRPr="009D3C6B" w:rsidRDefault="00314E97" w:rsidP="00D34032">
            <w:pPr>
              <w:jc w:val="right"/>
              <w:rPr>
                <w:lang w:val="id-ID" w:eastAsia="id-ID"/>
              </w:rPr>
            </w:pPr>
            <w:r w:rsidRPr="009D3C6B">
              <w:rPr>
                <w:lang w:val="id-ID" w:eastAsia="id-ID"/>
              </w:rPr>
              <w:t>743</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21FCBCA6" w14:textId="77777777" w:rsidR="00314E97" w:rsidRPr="009D3C6B" w:rsidRDefault="00314E97" w:rsidP="00D34032">
            <w:pPr>
              <w:jc w:val="center"/>
              <w:rPr>
                <w:lang w:val="id-ID" w:eastAsia="id-ID"/>
              </w:rPr>
            </w:pPr>
            <w:r w:rsidRPr="009D3C6B">
              <w:rPr>
                <w:lang w:val="id-ID" w:eastAsia="id-ID"/>
              </w:rPr>
              <w:t>663</w:t>
            </w:r>
          </w:p>
        </w:tc>
      </w:tr>
      <w:tr w:rsidR="00314E97" w:rsidRPr="009D3C6B" w14:paraId="20FA97CB"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19EC7EA5" w14:textId="77777777" w:rsidR="00314E97" w:rsidRPr="009D3C6B" w:rsidRDefault="00314E97" w:rsidP="00D34032">
            <w:pPr>
              <w:jc w:val="center"/>
              <w:rPr>
                <w:lang w:val="id-ID" w:eastAsia="id-ID"/>
              </w:rPr>
            </w:pPr>
            <w:r w:rsidRPr="009D3C6B">
              <w:rPr>
                <w:lang w:val="id-ID" w:eastAsia="id-ID"/>
              </w:rPr>
              <w:t>21</w:t>
            </w:r>
          </w:p>
        </w:tc>
        <w:tc>
          <w:tcPr>
            <w:tcW w:w="2111" w:type="dxa"/>
            <w:tcBorders>
              <w:top w:val="single" w:sz="4" w:space="0" w:color="auto"/>
              <w:left w:val="nil"/>
              <w:bottom w:val="nil"/>
              <w:right w:val="single" w:sz="8" w:space="0" w:color="auto"/>
            </w:tcBorders>
            <w:shd w:val="clear" w:color="auto" w:fill="auto"/>
            <w:noWrap/>
            <w:vAlign w:val="bottom"/>
            <w:hideMark/>
          </w:tcPr>
          <w:p w14:paraId="20C33B83" w14:textId="77777777" w:rsidR="00314E97" w:rsidRPr="009D3C6B" w:rsidRDefault="00314E97" w:rsidP="00D34032">
            <w:pPr>
              <w:rPr>
                <w:lang w:val="id-ID" w:eastAsia="id-ID"/>
              </w:rPr>
            </w:pPr>
            <w:r w:rsidRPr="009D3C6B">
              <w:rPr>
                <w:lang w:val="id-ID" w:eastAsia="id-ID"/>
              </w:rPr>
              <w:t>Malaka</w:t>
            </w:r>
          </w:p>
        </w:tc>
        <w:tc>
          <w:tcPr>
            <w:tcW w:w="800" w:type="dxa"/>
            <w:tcBorders>
              <w:top w:val="single" w:sz="4" w:space="0" w:color="auto"/>
              <w:left w:val="nil"/>
              <w:bottom w:val="nil"/>
              <w:right w:val="nil"/>
            </w:tcBorders>
            <w:shd w:val="clear" w:color="auto" w:fill="auto"/>
            <w:noWrap/>
            <w:vAlign w:val="bottom"/>
            <w:hideMark/>
          </w:tcPr>
          <w:p w14:paraId="7CCED393" w14:textId="77777777" w:rsidR="00314E97" w:rsidRPr="009D3C6B" w:rsidRDefault="00314E97" w:rsidP="00D34032">
            <w:pPr>
              <w:rPr>
                <w:lang w:val="id-ID" w:eastAsia="id-ID"/>
              </w:rPr>
            </w:pPr>
            <w:r w:rsidRPr="009D3C6B">
              <w:rPr>
                <w:lang w:val="id-ID" w:eastAsia="id-ID"/>
              </w:rPr>
              <w:t xml:space="preserve">    1.387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25979714" w14:textId="77777777" w:rsidR="00314E97" w:rsidRPr="009D3C6B" w:rsidRDefault="00314E97" w:rsidP="00D34032">
            <w:pPr>
              <w:jc w:val="right"/>
              <w:rPr>
                <w:lang w:val="id-ID" w:eastAsia="id-ID"/>
              </w:rPr>
            </w:pPr>
            <w:r w:rsidRPr="009D3C6B">
              <w:rPr>
                <w:lang w:val="id-ID" w:eastAsia="id-ID"/>
              </w:rPr>
              <w:t>1.467</w:t>
            </w:r>
          </w:p>
        </w:tc>
        <w:tc>
          <w:tcPr>
            <w:tcW w:w="848" w:type="dxa"/>
            <w:tcBorders>
              <w:top w:val="single" w:sz="4" w:space="0" w:color="auto"/>
              <w:left w:val="nil"/>
              <w:bottom w:val="nil"/>
              <w:right w:val="nil"/>
            </w:tcBorders>
            <w:shd w:val="clear" w:color="auto" w:fill="auto"/>
            <w:noWrap/>
            <w:vAlign w:val="bottom"/>
            <w:hideMark/>
          </w:tcPr>
          <w:p w14:paraId="438BAAAA" w14:textId="77777777" w:rsidR="00314E97" w:rsidRPr="009D3C6B" w:rsidRDefault="00314E97" w:rsidP="00D34032">
            <w:pPr>
              <w:jc w:val="right"/>
              <w:rPr>
                <w:lang w:val="id-ID" w:eastAsia="id-ID"/>
              </w:rPr>
            </w:pPr>
            <w:r w:rsidRPr="009D3C6B">
              <w:rPr>
                <w:lang w:val="id-ID" w:eastAsia="id-ID"/>
              </w:rPr>
              <w:t>1.529</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601F11C6" w14:textId="77777777" w:rsidR="00314E97" w:rsidRPr="009D3C6B" w:rsidRDefault="00314E97" w:rsidP="00D34032">
            <w:pPr>
              <w:jc w:val="right"/>
              <w:rPr>
                <w:lang w:val="id-ID" w:eastAsia="id-ID"/>
              </w:rPr>
            </w:pPr>
            <w:r w:rsidRPr="009D3C6B">
              <w:rPr>
                <w:lang w:val="id-ID" w:eastAsia="id-ID"/>
              </w:rPr>
              <w:t>1.605</w:t>
            </w:r>
          </w:p>
        </w:tc>
        <w:tc>
          <w:tcPr>
            <w:tcW w:w="993" w:type="dxa"/>
            <w:tcBorders>
              <w:top w:val="single" w:sz="4" w:space="0" w:color="auto"/>
              <w:left w:val="nil"/>
              <w:bottom w:val="nil"/>
              <w:right w:val="nil"/>
            </w:tcBorders>
            <w:shd w:val="clear" w:color="auto" w:fill="auto"/>
            <w:noWrap/>
            <w:vAlign w:val="bottom"/>
            <w:hideMark/>
          </w:tcPr>
          <w:p w14:paraId="22F9C6DA" w14:textId="77777777" w:rsidR="00314E97" w:rsidRPr="009D3C6B" w:rsidRDefault="00314E97" w:rsidP="00D34032">
            <w:pPr>
              <w:rPr>
                <w:lang w:val="id-ID" w:eastAsia="id-ID"/>
              </w:rPr>
            </w:pPr>
            <w:r w:rsidRPr="009D3C6B">
              <w:rPr>
                <w:lang w:val="id-ID" w:eastAsia="id-ID"/>
              </w:rPr>
              <w:t xml:space="preserve">    1.687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634E5E94" w14:textId="77777777" w:rsidR="00314E97" w:rsidRPr="009D3C6B" w:rsidRDefault="00314E97" w:rsidP="00D34032">
            <w:pPr>
              <w:jc w:val="right"/>
              <w:rPr>
                <w:lang w:val="id-ID" w:eastAsia="id-ID"/>
              </w:rPr>
            </w:pPr>
            <w:r w:rsidRPr="009D3C6B">
              <w:rPr>
                <w:lang w:val="id-ID" w:eastAsia="id-ID"/>
              </w:rPr>
              <w:t>1.757</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508F353F" w14:textId="77777777" w:rsidR="00314E97" w:rsidRPr="009D3C6B" w:rsidRDefault="00314E97" w:rsidP="00D34032">
            <w:pPr>
              <w:jc w:val="center"/>
              <w:rPr>
                <w:lang w:val="id-ID" w:eastAsia="id-ID"/>
              </w:rPr>
            </w:pPr>
            <w:r w:rsidRPr="009D3C6B">
              <w:rPr>
                <w:lang w:val="id-ID" w:eastAsia="id-ID"/>
              </w:rPr>
              <w:t>1.572</w:t>
            </w:r>
          </w:p>
        </w:tc>
      </w:tr>
      <w:tr w:rsidR="00314E97" w:rsidRPr="009D3C6B" w14:paraId="44D7E245" w14:textId="77777777" w:rsidTr="00477F24">
        <w:trPr>
          <w:trHeight w:val="315"/>
        </w:trPr>
        <w:tc>
          <w:tcPr>
            <w:tcW w:w="269" w:type="dxa"/>
            <w:tcBorders>
              <w:top w:val="single" w:sz="4" w:space="0" w:color="auto"/>
              <w:left w:val="single" w:sz="8" w:space="0" w:color="auto"/>
              <w:bottom w:val="nil"/>
              <w:right w:val="single" w:sz="8" w:space="0" w:color="auto"/>
            </w:tcBorders>
            <w:shd w:val="clear" w:color="auto" w:fill="auto"/>
            <w:noWrap/>
            <w:vAlign w:val="center"/>
            <w:hideMark/>
          </w:tcPr>
          <w:p w14:paraId="489DFB6C" w14:textId="77777777" w:rsidR="00314E97" w:rsidRPr="009D3C6B" w:rsidRDefault="00314E97" w:rsidP="00D34032">
            <w:pPr>
              <w:jc w:val="center"/>
              <w:rPr>
                <w:lang w:val="id-ID" w:eastAsia="id-ID"/>
              </w:rPr>
            </w:pPr>
            <w:r w:rsidRPr="009D3C6B">
              <w:rPr>
                <w:lang w:val="id-ID" w:eastAsia="id-ID"/>
              </w:rPr>
              <w:t>22</w:t>
            </w:r>
          </w:p>
        </w:tc>
        <w:tc>
          <w:tcPr>
            <w:tcW w:w="2111" w:type="dxa"/>
            <w:tcBorders>
              <w:top w:val="single" w:sz="4" w:space="0" w:color="auto"/>
              <w:left w:val="nil"/>
              <w:bottom w:val="nil"/>
              <w:right w:val="single" w:sz="8" w:space="0" w:color="auto"/>
            </w:tcBorders>
            <w:shd w:val="clear" w:color="auto" w:fill="auto"/>
            <w:noWrap/>
            <w:vAlign w:val="bottom"/>
            <w:hideMark/>
          </w:tcPr>
          <w:p w14:paraId="6FC32C4F" w14:textId="77777777" w:rsidR="00314E97" w:rsidRPr="009D3C6B" w:rsidRDefault="00314E97" w:rsidP="00D34032">
            <w:pPr>
              <w:rPr>
                <w:lang w:val="id-ID" w:eastAsia="id-ID"/>
              </w:rPr>
            </w:pPr>
            <w:r w:rsidRPr="009D3C6B">
              <w:rPr>
                <w:lang w:val="id-ID" w:eastAsia="id-ID"/>
              </w:rPr>
              <w:t>Kota  Kupang</w:t>
            </w:r>
          </w:p>
        </w:tc>
        <w:tc>
          <w:tcPr>
            <w:tcW w:w="800" w:type="dxa"/>
            <w:tcBorders>
              <w:top w:val="single" w:sz="4" w:space="0" w:color="auto"/>
              <w:left w:val="nil"/>
              <w:bottom w:val="nil"/>
              <w:right w:val="nil"/>
            </w:tcBorders>
            <w:shd w:val="clear" w:color="auto" w:fill="auto"/>
            <w:noWrap/>
            <w:vAlign w:val="bottom"/>
            <w:hideMark/>
          </w:tcPr>
          <w:p w14:paraId="2D87B6E1" w14:textId="77777777" w:rsidR="00314E97" w:rsidRPr="009D3C6B" w:rsidRDefault="00314E97" w:rsidP="00D34032">
            <w:pPr>
              <w:rPr>
                <w:lang w:val="id-ID" w:eastAsia="id-ID"/>
              </w:rPr>
            </w:pPr>
            <w:r w:rsidRPr="009D3C6B">
              <w:rPr>
                <w:lang w:val="id-ID" w:eastAsia="id-ID"/>
              </w:rPr>
              <w:t xml:space="preserve">  11.373 </w:t>
            </w:r>
          </w:p>
        </w:tc>
        <w:tc>
          <w:tcPr>
            <w:tcW w:w="848" w:type="dxa"/>
            <w:tcBorders>
              <w:top w:val="single" w:sz="4" w:space="0" w:color="auto"/>
              <w:left w:val="single" w:sz="8" w:space="0" w:color="auto"/>
              <w:bottom w:val="nil"/>
              <w:right w:val="single" w:sz="8" w:space="0" w:color="auto"/>
            </w:tcBorders>
            <w:shd w:val="clear" w:color="auto" w:fill="auto"/>
            <w:noWrap/>
            <w:vAlign w:val="bottom"/>
            <w:hideMark/>
          </w:tcPr>
          <w:p w14:paraId="4A7FAA08" w14:textId="77777777" w:rsidR="00314E97" w:rsidRPr="009D3C6B" w:rsidRDefault="00314E97" w:rsidP="00D34032">
            <w:pPr>
              <w:jc w:val="right"/>
              <w:rPr>
                <w:lang w:val="id-ID" w:eastAsia="id-ID"/>
              </w:rPr>
            </w:pPr>
            <w:r w:rsidRPr="009D3C6B">
              <w:rPr>
                <w:lang w:val="id-ID" w:eastAsia="id-ID"/>
              </w:rPr>
              <w:t>12.148</w:t>
            </w:r>
          </w:p>
        </w:tc>
        <w:tc>
          <w:tcPr>
            <w:tcW w:w="848" w:type="dxa"/>
            <w:tcBorders>
              <w:top w:val="single" w:sz="4" w:space="0" w:color="auto"/>
              <w:left w:val="nil"/>
              <w:bottom w:val="nil"/>
              <w:right w:val="nil"/>
            </w:tcBorders>
            <w:shd w:val="clear" w:color="auto" w:fill="auto"/>
            <w:noWrap/>
            <w:vAlign w:val="bottom"/>
            <w:hideMark/>
          </w:tcPr>
          <w:p w14:paraId="1EAADC03" w14:textId="77777777" w:rsidR="00314E97" w:rsidRPr="009D3C6B" w:rsidRDefault="00314E97" w:rsidP="00D34032">
            <w:pPr>
              <w:jc w:val="right"/>
              <w:rPr>
                <w:lang w:val="id-ID" w:eastAsia="id-ID"/>
              </w:rPr>
            </w:pPr>
            <w:r w:rsidRPr="009D3C6B">
              <w:rPr>
                <w:lang w:val="id-ID" w:eastAsia="id-ID"/>
              </w:rPr>
              <w:t>12.953</w:t>
            </w:r>
          </w:p>
        </w:tc>
        <w:tc>
          <w:tcPr>
            <w:tcW w:w="847" w:type="dxa"/>
            <w:tcBorders>
              <w:top w:val="single" w:sz="4" w:space="0" w:color="auto"/>
              <w:left w:val="single" w:sz="8" w:space="0" w:color="auto"/>
              <w:bottom w:val="nil"/>
              <w:right w:val="single" w:sz="8" w:space="0" w:color="auto"/>
            </w:tcBorders>
            <w:shd w:val="clear" w:color="auto" w:fill="auto"/>
            <w:noWrap/>
            <w:vAlign w:val="bottom"/>
            <w:hideMark/>
          </w:tcPr>
          <w:p w14:paraId="1BC7102C" w14:textId="77777777" w:rsidR="00314E97" w:rsidRPr="009D3C6B" w:rsidRDefault="00314E97" w:rsidP="00D34032">
            <w:pPr>
              <w:jc w:val="right"/>
              <w:rPr>
                <w:lang w:val="id-ID" w:eastAsia="id-ID"/>
              </w:rPr>
            </w:pPr>
            <w:r w:rsidRPr="009D3C6B">
              <w:rPr>
                <w:lang w:val="id-ID" w:eastAsia="id-ID"/>
              </w:rPr>
              <w:t>13.826</w:t>
            </w:r>
          </w:p>
        </w:tc>
        <w:tc>
          <w:tcPr>
            <w:tcW w:w="993" w:type="dxa"/>
            <w:tcBorders>
              <w:top w:val="single" w:sz="4" w:space="0" w:color="auto"/>
              <w:left w:val="nil"/>
              <w:bottom w:val="nil"/>
              <w:right w:val="nil"/>
            </w:tcBorders>
            <w:shd w:val="clear" w:color="auto" w:fill="auto"/>
            <w:noWrap/>
            <w:vAlign w:val="bottom"/>
            <w:hideMark/>
          </w:tcPr>
          <w:p w14:paraId="3EC41A7D" w14:textId="77777777" w:rsidR="00314E97" w:rsidRPr="009D3C6B" w:rsidRDefault="00314E97" w:rsidP="00D34032">
            <w:pPr>
              <w:rPr>
                <w:lang w:val="id-ID" w:eastAsia="id-ID"/>
              </w:rPr>
            </w:pPr>
            <w:r w:rsidRPr="009D3C6B">
              <w:rPr>
                <w:lang w:val="id-ID" w:eastAsia="id-ID"/>
              </w:rPr>
              <w:t xml:space="preserve">  14.770 </w:t>
            </w:r>
          </w:p>
        </w:tc>
        <w:tc>
          <w:tcPr>
            <w:tcW w:w="897" w:type="dxa"/>
            <w:tcBorders>
              <w:top w:val="single" w:sz="4" w:space="0" w:color="auto"/>
              <w:left w:val="single" w:sz="8" w:space="0" w:color="auto"/>
              <w:bottom w:val="nil"/>
              <w:right w:val="single" w:sz="8" w:space="0" w:color="auto"/>
            </w:tcBorders>
            <w:shd w:val="clear" w:color="000000" w:fill="FFFFFF"/>
            <w:noWrap/>
            <w:vAlign w:val="bottom"/>
            <w:hideMark/>
          </w:tcPr>
          <w:p w14:paraId="0438F139" w14:textId="77777777" w:rsidR="00314E97" w:rsidRPr="009D3C6B" w:rsidRDefault="00314E97" w:rsidP="00D34032">
            <w:pPr>
              <w:jc w:val="right"/>
              <w:rPr>
                <w:lang w:val="id-ID" w:eastAsia="id-ID"/>
              </w:rPr>
            </w:pPr>
            <w:r w:rsidRPr="009D3C6B">
              <w:rPr>
                <w:lang w:val="id-ID" w:eastAsia="id-ID"/>
              </w:rPr>
              <w:t>15.556</w:t>
            </w:r>
          </w:p>
        </w:tc>
        <w:tc>
          <w:tcPr>
            <w:tcW w:w="847" w:type="dxa"/>
            <w:tcBorders>
              <w:top w:val="single" w:sz="8" w:space="0" w:color="auto"/>
              <w:left w:val="nil"/>
              <w:bottom w:val="single" w:sz="4" w:space="0" w:color="auto"/>
              <w:right w:val="single" w:sz="8" w:space="0" w:color="auto"/>
            </w:tcBorders>
            <w:shd w:val="clear" w:color="auto" w:fill="auto"/>
            <w:noWrap/>
            <w:vAlign w:val="bottom"/>
            <w:hideMark/>
          </w:tcPr>
          <w:p w14:paraId="178AD9F2" w14:textId="77777777" w:rsidR="00314E97" w:rsidRPr="009D3C6B" w:rsidRDefault="00314E97" w:rsidP="00D34032">
            <w:pPr>
              <w:jc w:val="center"/>
              <w:rPr>
                <w:lang w:val="id-ID" w:eastAsia="id-ID"/>
              </w:rPr>
            </w:pPr>
            <w:r w:rsidRPr="009D3C6B">
              <w:rPr>
                <w:lang w:val="id-ID" w:eastAsia="id-ID"/>
              </w:rPr>
              <w:t>13.438</w:t>
            </w:r>
          </w:p>
        </w:tc>
      </w:tr>
      <w:tr w:rsidR="00314E97" w:rsidRPr="009D3C6B" w14:paraId="1923062A" w14:textId="77777777" w:rsidTr="00477F24">
        <w:trPr>
          <w:trHeight w:val="315"/>
        </w:trPr>
        <w:tc>
          <w:tcPr>
            <w:tcW w:w="238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10443D" w14:textId="77777777" w:rsidR="00314E97" w:rsidRPr="009D3C6B" w:rsidRDefault="00314E97" w:rsidP="00D34032">
            <w:pPr>
              <w:jc w:val="center"/>
              <w:rPr>
                <w:b/>
                <w:bCs/>
                <w:lang w:val="id-ID" w:eastAsia="id-ID"/>
              </w:rPr>
            </w:pPr>
            <w:r w:rsidRPr="009D3C6B">
              <w:rPr>
                <w:b/>
                <w:bCs/>
                <w:lang w:val="id-ID" w:eastAsia="id-ID"/>
              </w:rPr>
              <w:t>PDRB Propinsi NTT</w:t>
            </w:r>
          </w:p>
        </w:tc>
        <w:tc>
          <w:tcPr>
            <w:tcW w:w="800" w:type="dxa"/>
            <w:tcBorders>
              <w:top w:val="single" w:sz="8" w:space="0" w:color="auto"/>
              <w:left w:val="nil"/>
              <w:bottom w:val="single" w:sz="8" w:space="0" w:color="auto"/>
              <w:right w:val="single" w:sz="8" w:space="0" w:color="auto"/>
            </w:tcBorders>
            <w:shd w:val="clear" w:color="000000" w:fill="FFFFFF"/>
            <w:noWrap/>
            <w:vAlign w:val="bottom"/>
            <w:hideMark/>
          </w:tcPr>
          <w:p w14:paraId="7016A376" w14:textId="77777777" w:rsidR="00314E97" w:rsidRPr="009D3C6B" w:rsidRDefault="00314E97" w:rsidP="00D34032">
            <w:pPr>
              <w:jc w:val="right"/>
              <w:rPr>
                <w:b/>
                <w:bCs/>
                <w:lang w:val="id-ID" w:eastAsia="id-ID"/>
              </w:rPr>
            </w:pPr>
            <w:r w:rsidRPr="009D3C6B">
              <w:rPr>
                <w:b/>
                <w:bCs/>
                <w:lang w:val="id-ID" w:eastAsia="id-ID"/>
              </w:rPr>
              <w:t>51.455</w:t>
            </w:r>
          </w:p>
        </w:tc>
        <w:tc>
          <w:tcPr>
            <w:tcW w:w="848" w:type="dxa"/>
            <w:tcBorders>
              <w:top w:val="single" w:sz="8" w:space="0" w:color="auto"/>
              <w:left w:val="nil"/>
              <w:bottom w:val="single" w:sz="8" w:space="0" w:color="auto"/>
              <w:right w:val="single" w:sz="8" w:space="0" w:color="auto"/>
            </w:tcBorders>
            <w:shd w:val="clear" w:color="000000" w:fill="FFFFFF"/>
            <w:noWrap/>
            <w:vAlign w:val="bottom"/>
            <w:hideMark/>
          </w:tcPr>
          <w:p w14:paraId="2F89D4C3" w14:textId="77777777" w:rsidR="00314E97" w:rsidRPr="009D3C6B" w:rsidRDefault="00314E97" w:rsidP="00D34032">
            <w:pPr>
              <w:jc w:val="right"/>
              <w:rPr>
                <w:b/>
                <w:bCs/>
                <w:lang w:val="id-ID" w:eastAsia="id-ID"/>
              </w:rPr>
            </w:pPr>
            <w:r w:rsidRPr="009D3C6B">
              <w:rPr>
                <w:b/>
                <w:bCs/>
                <w:lang w:val="id-ID" w:eastAsia="id-ID"/>
              </w:rPr>
              <w:t>54.169</w:t>
            </w:r>
          </w:p>
        </w:tc>
        <w:tc>
          <w:tcPr>
            <w:tcW w:w="848" w:type="dxa"/>
            <w:tcBorders>
              <w:top w:val="single" w:sz="8" w:space="0" w:color="auto"/>
              <w:left w:val="nil"/>
              <w:bottom w:val="single" w:sz="8" w:space="0" w:color="auto"/>
              <w:right w:val="single" w:sz="8" w:space="0" w:color="auto"/>
            </w:tcBorders>
            <w:shd w:val="clear" w:color="000000" w:fill="FFFFFF"/>
            <w:noWrap/>
            <w:vAlign w:val="bottom"/>
            <w:hideMark/>
          </w:tcPr>
          <w:p w14:paraId="55B41016" w14:textId="77777777" w:rsidR="00314E97" w:rsidRPr="009D3C6B" w:rsidRDefault="00314E97" w:rsidP="00D34032">
            <w:pPr>
              <w:jc w:val="right"/>
              <w:rPr>
                <w:b/>
                <w:bCs/>
                <w:lang w:val="id-ID" w:eastAsia="id-ID"/>
              </w:rPr>
            </w:pPr>
            <w:r w:rsidRPr="009D3C6B">
              <w:rPr>
                <w:b/>
                <w:bCs/>
                <w:lang w:val="id-ID" w:eastAsia="id-ID"/>
              </w:rPr>
              <w:t>56.991</w:t>
            </w:r>
          </w:p>
        </w:tc>
        <w:tc>
          <w:tcPr>
            <w:tcW w:w="847" w:type="dxa"/>
            <w:tcBorders>
              <w:top w:val="single" w:sz="8" w:space="0" w:color="auto"/>
              <w:left w:val="nil"/>
              <w:bottom w:val="single" w:sz="8" w:space="0" w:color="auto"/>
              <w:right w:val="single" w:sz="8" w:space="0" w:color="auto"/>
            </w:tcBorders>
            <w:shd w:val="clear" w:color="000000" w:fill="FFFFFF"/>
            <w:noWrap/>
            <w:vAlign w:val="bottom"/>
            <w:hideMark/>
          </w:tcPr>
          <w:p w14:paraId="77D9EE43" w14:textId="77777777" w:rsidR="00314E97" w:rsidRPr="009D3C6B" w:rsidRDefault="00314E97" w:rsidP="00D34032">
            <w:pPr>
              <w:jc w:val="right"/>
              <w:rPr>
                <w:b/>
                <w:bCs/>
                <w:lang w:val="id-ID" w:eastAsia="id-ID"/>
              </w:rPr>
            </w:pPr>
            <w:r w:rsidRPr="009D3C6B">
              <w:rPr>
                <w:b/>
                <w:bCs/>
                <w:lang w:val="id-ID" w:eastAsia="id-ID"/>
              </w:rPr>
              <w:t>60.054</w:t>
            </w:r>
          </w:p>
        </w:tc>
        <w:tc>
          <w:tcPr>
            <w:tcW w:w="993" w:type="dxa"/>
            <w:tcBorders>
              <w:top w:val="single" w:sz="8" w:space="0" w:color="auto"/>
              <w:left w:val="nil"/>
              <w:bottom w:val="single" w:sz="8" w:space="0" w:color="auto"/>
              <w:right w:val="single" w:sz="8" w:space="0" w:color="auto"/>
            </w:tcBorders>
            <w:shd w:val="clear" w:color="000000" w:fill="FFFFFF"/>
            <w:noWrap/>
            <w:vAlign w:val="bottom"/>
            <w:hideMark/>
          </w:tcPr>
          <w:p w14:paraId="7E966B1C" w14:textId="77777777" w:rsidR="00314E97" w:rsidRPr="009D3C6B" w:rsidRDefault="00314E97" w:rsidP="00D34032">
            <w:pPr>
              <w:jc w:val="right"/>
              <w:rPr>
                <w:b/>
                <w:bCs/>
                <w:lang w:val="id-ID" w:eastAsia="id-ID"/>
              </w:rPr>
            </w:pPr>
            <w:r w:rsidRPr="009D3C6B">
              <w:rPr>
                <w:b/>
                <w:bCs/>
                <w:lang w:val="id-ID" w:eastAsia="id-ID"/>
              </w:rPr>
              <w:t>63.391</w:t>
            </w:r>
          </w:p>
        </w:tc>
        <w:tc>
          <w:tcPr>
            <w:tcW w:w="897" w:type="dxa"/>
            <w:tcBorders>
              <w:top w:val="single" w:sz="8" w:space="0" w:color="auto"/>
              <w:left w:val="nil"/>
              <w:bottom w:val="single" w:sz="8" w:space="0" w:color="auto"/>
              <w:right w:val="single" w:sz="8" w:space="0" w:color="auto"/>
            </w:tcBorders>
            <w:shd w:val="clear" w:color="000000" w:fill="FFFFFF"/>
            <w:noWrap/>
            <w:vAlign w:val="bottom"/>
            <w:hideMark/>
          </w:tcPr>
          <w:p w14:paraId="6B980B3A" w14:textId="77777777" w:rsidR="00314E97" w:rsidRPr="009D3C6B" w:rsidRDefault="00314E97" w:rsidP="00D34032">
            <w:pPr>
              <w:jc w:val="right"/>
              <w:rPr>
                <w:b/>
                <w:bCs/>
                <w:lang w:val="id-ID" w:eastAsia="id-ID"/>
              </w:rPr>
            </w:pPr>
            <w:r w:rsidRPr="009D3C6B">
              <w:rPr>
                <w:b/>
                <w:bCs/>
                <w:lang w:val="id-ID" w:eastAsia="id-ID"/>
              </w:rPr>
              <w:t>66.145</w:t>
            </w:r>
          </w:p>
        </w:tc>
        <w:tc>
          <w:tcPr>
            <w:tcW w:w="847" w:type="dxa"/>
            <w:tcBorders>
              <w:top w:val="single" w:sz="8" w:space="0" w:color="auto"/>
              <w:left w:val="nil"/>
              <w:bottom w:val="single" w:sz="8" w:space="0" w:color="auto"/>
              <w:right w:val="single" w:sz="8" w:space="0" w:color="auto"/>
            </w:tcBorders>
            <w:shd w:val="clear" w:color="000000" w:fill="FFFFFF"/>
            <w:noWrap/>
            <w:vAlign w:val="bottom"/>
            <w:hideMark/>
          </w:tcPr>
          <w:p w14:paraId="42F3AC3A" w14:textId="77777777" w:rsidR="00314E97" w:rsidRPr="009D3C6B" w:rsidRDefault="00314E97" w:rsidP="00D34032">
            <w:pPr>
              <w:jc w:val="center"/>
              <w:rPr>
                <w:b/>
                <w:bCs/>
                <w:lang w:val="id-ID" w:eastAsia="id-ID"/>
              </w:rPr>
            </w:pPr>
            <w:r w:rsidRPr="009D3C6B">
              <w:rPr>
                <w:b/>
                <w:bCs/>
                <w:lang w:val="id-ID" w:eastAsia="id-ID"/>
              </w:rPr>
              <w:t>58.701</w:t>
            </w:r>
          </w:p>
        </w:tc>
      </w:tr>
      <w:tr w:rsidR="00314E97" w:rsidRPr="009D3C6B" w14:paraId="3094CFD9" w14:textId="77777777" w:rsidTr="00477F24">
        <w:trPr>
          <w:trHeight w:val="300"/>
        </w:trPr>
        <w:tc>
          <w:tcPr>
            <w:tcW w:w="2380" w:type="dxa"/>
            <w:gridSpan w:val="2"/>
            <w:tcBorders>
              <w:top w:val="nil"/>
              <w:left w:val="nil"/>
              <w:bottom w:val="nil"/>
              <w:right w:val="nil"/>
            </w:tcBorders>
            <w:shd w:val="clear" w:color="auto" w:fill="auto"/>
            <w:noWrap/>
            <w:vAlign w:val="bottom"/>
            <w:hideMark/>
          </w:tcPr>
          <w:p w14:paraId="6FB02B9B" w14:textId="77777777" w:rsidR="00314E97" w:rsidRPr="009D3C6B" w:rsidRDefault="00314E97" w:rsidP="00D34032">
            <w:pPr>
              <w:rPr>
                <w:i/>
                <w:iCs/>
                <w:lang w:val="id-ID" w:eastAsia="id-ID"/>
              </w:rPr>
            </w:pPr>
            <w:r w:rsidRPr="009D3C6B">
              <w:rPr>
                <w:i/>
                <w:iCs/>
                <w:lang w:val="id-ID" w:eastAsia="id-ID"/>
              </w:rPr>
              <w:t>Sumber : BPS   2019</w:t>
            </w:r>
          </w:p>
        </w:tc>
        <w:tc>
          <w:tcPr>
            <w:tcW w:w="800" w:type="dxa"/>
            <w:tcBorders>
              <w:top w:val="nil"/>
              <w:left w:val="nil"/>
              <w:bottom w:val="nil"/>
              <w:right w:val="nil"/>
            </w:tcBorders>
            <w:shd w:val="clear" w:color="auto" w:fill="auto"/>
            <w:noWrap/>
            <w:vAlign w:val="bottom"/>
            <w:hideMark/>
          </w:tcPr>
          <w:p w14:paraId="5485DBE8" w14:textId="77777777" w:rsidR="00314E97" w:rsidRPr="009D3C6B" w:rsidRDefault="00314E97" w:rsidP="00D34032">
            <w:pPr>
              <w:rPr>
                <w:lang w:val="id-ID" w:eastAsia="id-ID"/>
              </w:rPr>
            </w:pPr>
          </w:p>
        </w:tc>
        <w:tc>
          <w:tcPr>
            <w:tcW w:w="848" w:type="dxa"/>
            <w:tcBorders>
              <w:top w:val="nil"/>
              <w:left w:val="nil"/>
              <w:bottom w:val="nil"/>
              <w:right w:val="nil"/>
            </w:tcBorders>
            <w:shd w:val="clear" w:color="auto" w:fill="auto"/>
            <w:noWrap/>
            <w:vAlign w:val="bottom"/>
            <w:hideMark/>
          </w:tcPr>
          <w:p w14:paraId="2E524433" w14:textId="77777777" w:rsidR="00314E97" w:rsidRPr="009D3C6B" w:rsidRDefault="00314E97" w:rsidP="00D34032">
            <w:pPr>
              <w:rPr>
                <w:lang w:val="id-ID" w:eastAsia="id-ID"/>
              </w:rPr>
            </w:pPr>
          </w:p>
        </w:tc>
        <w:tc>
          <w:tcPr>
            <w:tcW w:w="848" w:type="dxa"/>
            <w:tcBorders>
              <w:top w:val="nil"/>
              <w:left w:val="nil"/>
              <w:bottom w:val="nil"/>
              <w:right w:val="nil"/>
            </w:tcBorders>
            <w:shd w:val="clear" w:color="auto" w:fill="auto"/>
            <w:noWrap/>
            <w:vAlign w:val="bottom"/>
            <w:hideMark/>
          </w:tcPr>
          <w:p w14:paraId="250F281A" w14:textId="77777777" w:rsidR="00314E97" w:rsidRPr="009D3C6B" w:rsidRDefault="00314E97" w:rsidP="00D34032">
            <w:pPr>
              <w:rPr>
                <w:lang w:val="id-ID" w:eastAsia="id-ID"/>
              </w:rPr>
            </w:pPr>
          </w:p>
        </w:tc>
        <w:tc>
          <w:tcPr>
            <w:tcW w:w="847" w:type="dxa"/>
            <w:tcBorders>
              <w:top w:val="nil"/>
              <w:left w:val="nil"/>
              <w:bottom w:val="nil"/>
              <w:right w:val="nil"/>
            </w:tcBorders>
            <w:shd w:val="clear" w:color="auto" w:fill="auto"/>
            <w:noWrap/>
            <w:vAlign w:val="bottom"/>
            <w:hideMark/>
          </w:tcPr>
          <w:p w14:paraId="5182438A" w14:textId="77777777" w:rsidR="00314E97" w:rsidRPr="009D3C6B" w:rsidRDefault="00314E97" w:rsidP="00D34032">
            <w:pPr>
              <w:rPr>
                <w:lang w:val="id-ID" w:eastAsia="id-ID"/>
              </w:rPr>
            </w:pPr>
          </w:p>
        </w:tc>
        <w:tc>
          <w:tcPr>
            <w:tcW w:w="993" w:type="dxa"/>
            <w:tcBorders>
              <w:top w:val="nil"/>
              <w:left w:val="nil"/>
              <w:bottom w:val="nil"/>
              <w:right w:val="nil"/>
            </w:tcBorders>
            <w:shd w:val="clear" w:color="auto" w:fill="auto"/>
            <w:noWrap/>
            <w:vAlign w:val="bottom"/>
            <w:hideMark/>
          </w:tcPr>
          <w:p w14:paraId="0D65D3A9" w14:textId="77777777" w:rsidR="00314E97" w:rsidRPr="009D3C6B" w:rsidRDefault="00314E97" w:rsidP="00D34032">
            <w:pPr>
              <w:rPr>
                <w:lang w:val="id-ID" w:eastAsia="id-ID"/>
              </w:rPr>
            </w:pPr>
          </w:p>
        </w:tc>
        <w:tc>
          <w:tcPr>
            <w:tcW w:w="897" w:type="dxa"/>
            <w:tcBorders>
              <w:top w:val="nil"/>
              <w:left w:val="nil"/>
              <w:bottom w:val="nil"/>
              <w:right w:val="nil"/>
            </w:tcBorders>
            <w:shd w:val="clear" w:color="auto" w:fill="auto"/>
            <w:noWrap/>
            <w:vAlign w:val="bottom"/>
            <w:hideMark/>
          </w:tcPr>
          <w:p w14:paraId="1675BBA9" w14:textId="77777777" w:rsidR="00314E97" w:rsidRPr="009D3C6B" w:rsidRDefault="00314E97" w:rsidP="00D34032">
            <w:pPr>
              <w:rPr>
                <w:lang w:val="id-ID" w:eastAsia="id-ID"/>
              </w:rPr>
            </w:pPr>
          </w:p>
        </w:tc>
        <w:tc>
          <w:tcPr>
            <w:tcW w:w="847" w:type="dxa"/>
            <w:tcBorders>
              <w:top w:val="nil"/>
              <w:left w:val="nil"/>
              <w:bottom w:val="nil"/>
              <w:right w:val="nil"/>
            </w:tcBorders>
            <w:shd w:val="clear" w:color="auto" w:fill="auto"/>
            <w:noWrap/>
            <w:vAlign w:val="bottom"/>
            <w:hideMark/>
          </w:tcPr>
          <w:p w14:paraId="3DACFDE3" w14:textId="77777777" w:rsidR="00314E97" w:rsidRPr="009D3C6B" w:rsidRDefault="00314E97" w:rsidP="00D34032">
            <w:pPr>
              <w:rPr>
                <w:lang w:val="id-ID" w:eastAsia="id-ID"/>
              </w:rPr>
            </w:pPr>
            <w:r w:rsidRPr="009D3C6B">
              <w:rPr>
                <w:lang w:val="id-ID" w:eastAsia="id-ID"/>
              </w:rPr>
              <w:t xml:space="preserve"> </w:t>
            </w:r>
          </w:p>
        </w:tc>
      </w:tr>
      <w:tr w:rsidR="00314E97" w:rsidRPr="009D3C6B" w14:paraId="51A09A0A" w14:textId="77777777" w:rsidTr="00CA575C">
        <w:trPr>
          <w:trHeight w:val="619"/>
        </w:trPr>
        <w:tc>
          <w:tcPr>
            <w:tcW w:w="4028" w:type="dxa"/>
            <w:gridSpan w:val="4"/>
            <w:tcBorders>
              <w:top w:val="nil"/>
              <w:left w:val="nil"/>
              <w:bottom w:val="nil"/>
              <w:right w:val="nil"/>
            </w:tcBorders>
            <w:shd w:val="clear" w:color="auto" w:fill="auto"/>
            <w:noWrap/>
            <w:vAlign w:val="center"/>
            <w:hideMark/>
          </w:tcPr>
          <w:p w14:paraId="57F67E43" w14:textId="77777777" w:rsidR="00314E97" w:rsidRPr="009D3C6B" w:rsidRDefault="00314E97" w:rsidP="00D34032">
            <w:pPr>
              <w:rPr>
                <w:i/>
                <w:iCs/>
                <w:lang w:val="id-ID" w:eastAsia="id-ID"/>
              </w:rPr>
            </w:pPr>
            <w:r w:rsidRPr="009D3C6B">
              <w:rPr>
                <w:i/>
                <w:iCs/>
                <w:lang w:val="id-ID" w:eastAsia="id-ID"/>
              </w:rPr>
              <w:t>Ket.       : *) Angka  Proyeksi  Peneliti</w:t>
            </w:r>
          </w:p>
        </w:tc>
        <w:tc>
          <w:tcPr>
            <w:tcW w:w="848" w:type="dxa"/>
            <w:tcBorders>
              <w:top w:val="nil"/>
              <w:left w:val="nil"/>
              <w:bottom w:val="nil"/>
              <w:right w:val="nil"/>
            </w:tcBorders>
            <w:shd w:val="clear" w:color="auto" w:fill="auto"/>
            <w:noWrap/>
            <w:vAlign w:val="bottom"/>
            <w:hideMark/>
          </w:tcPr>
          <w:p w14:paraId="2656C6A7" w14:textId="77777777" w:rsidR="00314E97" w:rsidRPr="009D3C6B" w:rsidRDefault="00314E97" w:rsidP="00D34032">
            <w:pPr>
              <w:rPr>
                <w:lang w:val="id-ID" w:eastAsia="id-ID"/>
              </w:rPr>
            </w:pPr>
          </w:p>
        </w:tc>
        <w:tc>
          <w:tcPr>
            <w:tcW w:w="847" w:type="dxa"/>
            <w:tcBorders>
              <w:top w:val="nil"/>
              <w:left w:val="nil"/>
              <w:bottom w:val="nil"/>
              <w:right w:val="nil"/>
            </w:tcBorders>
            <w:shd w:val="clear" w:color="auto" w:fill="auto"/>
            <w:noWrap/>
            <w:vAlign w:val="bottom"/>
            <w:hideMark/>
          </w:tcPr>
          <w:p w14:paraId="6A0FC73D" w14:textId="77777777" w:rsidR="00314E97" w:rsidRPr="009D3C6B" w:rsidRDefault="00314E97" w:rsidP="00D34032">
            <w:pPr>
              <w:rPr>
                <w:lang w:val="id-ID" w:eastAsia="id-ID"/>
              </w:rPr>
            </w:pPr>
          </w:p>
        </w:tc>
        <w:tc>
          <w:tcPr>
            <w:tcW w:w="993" w:type="dxa"/>
            <w:tcBorders>
              <w:top w:val="nil"/>
              <w:left w:val="nil"/>
              <w:bottom w:val="nil"/>
              <w:right w:val="nil"/>
            </w:tcBorders>
            <w:shd w:val="clear" w:color="auto" w:fill="auto"/>
            <w:noWrap/>
            <w:vAlign w:val="bottom"/>
            <w:hideMark/>
          </w:tcPr>
          <w:p w14:paraId="7A5B4F71" w14:textId="77777777" w:rsidR="00314E97" w:rsidRPr="009D3C6B" w:rsidRDefault="00314E97" w:rsidP="00D34032">
            <w:pPr>
              <w:rPr>
                <w:lang w:val="id-ID" w:eastAsia="id-ID"/>
              </w:rPr>
            </w:pPr>
          </w:p>
        </w:tc>
        <w:tc>
          <w:tcPr>
            <w:tcW w:w="897" w:type="dxa"/>
            <w:tcBorders>
              <w:top w:val="nil"/>
              <w:left w:val="nil"/>
              <w:bottom w:val="nil"/>
              <w:right w:val="nil"/>
            </w:tcBorders>
            <w:shd w:val="clear" w:color="auto" w:fill="auto"/>
            <w:noWrap/>
            <w:vAlign w:val="bottom"/>
            <w:hideMark/>
          </w:tcPr>
          <w:p w14:paraId="1C038B8D" w14:textId="77777777" w:rsidR="00314E97" w:rsidRPr="009D3C6B" w:rsidRDefault="00314E97" w:rsidP="00D34032">
            <w:pPr>
              <w:rPr>
                <w:lang w:val="id-ID" w:eastAsia="id-ID"/>
              </w:rPr>
            </w:pPr>
          </w:p>
        </w:tc>
        <w:tc>
          <w:tcPr>
            <w:tcW w:w="847" w:type="dxa"/>
            <w:tcBorders>
              <w:top w:val="nil"/>
              <w:left w:val="nil"/>
              <w:bottom w:val="nil"/>
              <w:right w:val="nil"/>
            </w:tcBorders>
            <w:shd w:val="clear" w:color="auto" w:fill="auto"/>
            <w:noWrap/>
            <w:vAlign w:val="bottom"/>
            <w:hideMark/>
          </w:tcPr>
          <w:p w14:paraId="4F0D7078" w14:textId="77777777" w:rsidR="00314E97" w:rsidRPr="009D3C6B" w:rsidRDefault="00314E97" w:rsidP="00D34032">
            <w:pPr>
              <w:rPr>
                <w:lang w:val="id-ID" w:eastAsia="id-ID"/>
              </w:rPr>
            </w:pPr>
          </w:p>
        </w:tc>
      </w:tr>
    </w:tbl>
    <w:p w14:paraId="1DD503F6" w14:textId="77777777" w:rsidR="00314E97" w:rsidRPr="009D3C6B" w:rsidRDefault="00314E97" w:rsidP="00314E97">
      <w:pPr>
        <w:spacing w:after="120" w:line="360" w:lineRule="auto"/>
        <w:ind w:firstLine="567"/>
        <w:jc w:val="both"/>
        <w:rPr>
          <w:lang w:val="id-ID"/>
        </w:rPr>
      </w:pPr>
      <w:r w:rsidRPr="009D3C6B">
        <w:rPr>
          <w:lang w:val="id-ID"/>
        </w:rPr>
        <w:lastRenderedPageBreak/>
        <w:t>Berdasarkan  data  pada   tabel 1.1  diatas  menunjukan bahwa  perkembangan  PDRB   provinsi Nusa Tenggara Timur tahun 2013-2018 mengalami kenaikan yang cukup  signifikan, dimana pada tahun 2013 sebesar Rp.51.455 juta, tahun 2014 naik  menjadi  Rp.54.169 juta, tahun 2015 Rp.56.991 juta,tahun 2016 Rp. 60.054 juta,  tahun 2017  sebesar Rp. 63.391 dan  tahun  2018   naik  menjadi Rp. 66.145  juta  dengan  rata-rata  kenaikan  selama  tahun  2013 -2018   sebesar  Rp. 58.701 juta.</w:t>
      </w:r>
    </w:p>
    <w:p w14:paraId="5D1CFC47" w14:textId="1C65B1E9" w:rsidR="00B73DE8" w:rsidRPr="009D3C6B" w:rsidRDefault="00314E97" w:rsidP="00B73DE8">
      <w:pPr>
        <w:spacing w:after="120" w:line="360" w:lineRule="auto"/>
        <w:ind w:firstLine="567"/>
        <w:jc w:val="both"/>
        <w:rPr>
          <w:b/>
          <w:lang w:val="id-ID"/>
        </w:rPr>
      </w:pPr>
      <w:r w:rsidRPr="009D3C6B">
        <w:rPr>
          <w:lang w:val="id-ID"/>
        </w:rPr>
        <w:t xml:space="preserve">Berdasarkan  hasil </w:t>
      </w:r>
      <w:r w:rsidR="00307464" w:rsidRPr="009D3C6B">
        <w:rPr>
          <w:lang w:val="id-ID"/>
        </w:rPr>
        <w:t xml:space="preserve"> Penelitian Etherlina Sagajoka dan Falentina Lucia Banda  tahun 2019 bahwa  Kabupaten / kota di Propinsi  Nusa Tenggara Timur memiliki  karakteristik yang berbeda beda </w:t>
      </w:r>
      <w:r w:rsidR="000C598F" w:rsidRPr="009D3C6B">
        <w:rPr>
          <w:lang w:val="id-ID"/>
        </w:rPr>
        <w:t xml:space="preserve"> sebagai  berikut : </w:t>
      </w:r>
    </w:p>
    <w:p w14:paraId="4667B69F" w14:textId="744C8983" w:rsidR="00001BC5" w:rsidRPr="009D3C6B" w:rsidRDefault="00001BC5" w:rsidP="00001BC5">
      <w:pPr>
        <w:pStyle w:val="NoSpacing"/>
        <w:numPr>
          <w:ilvl w:val="0"/>
          <w:numId w:val="12"/>
        </w:numPr>
        <w:spacing w:line="360" w:lineRule="auto"/>
        <w:ind w:left="426" w:hanging="426"/>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 xml:space="preserve">Daerah  maju dan berkembang  </w:t>
      </w:r>
      <w:r w:rsidRPr="009D3C6B">
        <w:rPr>
          <w:rFonts w:ascii="Times New Roman" w:hAnsi="Times New Roman" w:cs="Times New Roman"/>
          <w:b/>
          <w:color w:val="000000"/>
          <w:sz w:val="24"/>
          <w:szCs w:val="24"/>
          <w:lang w:val="id-ID"/>
        </w:rPr>
        <w:t>(</w:t>
      </w:r>
      <w:r w:rsidRPr="009D3C6B">
        <w:rPr>
          <w:rFonts w:ascii="Times New Roman" w:hAnsi="Times New Roman" w:cs="Times New Roman"/>
          <w:b/>
          <w:i/>
          <w:color w:val="000000"/>
          <w:sz w:val="24"/>
          <w:szCs w:val="24"/>
          <w:lang w:val="id-ID"/>
        </w:rPr>
        <w:t>High Growth and High  Income</w:t>
      </w:r>
      <w:r w:rsidRPr="009D3C6B">
        <w:rPr>
          <w:rFonts w:ascii="Times New Roman" w:hAnsi="Times New Roman" w:cs="Times New Roman"/>
          <w:b/>
          <w:color w:val="000000"/>
          <w:sz w:val="24"/>
          <w:szCs w:val="24"/>
          <w:lang w:val="id-ID"/>
        </w:rPr>
        <w:t xml:space="preserve">). </w:t>
      </w:r>
      <w:r w:rsidRPr="009D3C6B">
        <w:rPr>
          <w:rFonts w:ascii="Times New Roman" w:hAnsi="Times New Roman" w:cs="Times New Roman"/>
          <w:color w:val="000000"/>
          <w:sz w:val="24"/>
          <w:szCs w:val="24"/>
          <w:lang w:val="id-ID"/>
        </w:rPr>
        <w:t xml:space="preserve">Kabupaten/kota yang masuk kategori wilayah maju dan berkembang di provinsi  NTT adalah Kota Kupang,Kabupaten Flores Timur, Kabupaten Sikka dan  Kabupaten Ende,  </w:t>
      </w:r>
    </w:p>
    <w:p w14:paraId="13D5DD5D" w14:textId="4BCA21D0" w:rsidR="00001BC5" w:rsidRPr="009D3C6B" w:rsidRDefault="00547279" w:rsidP="00001BC5">
      <w:pPr>
        <w:pStyle w:val="NoSpacing"/>
        <w:numPr>
          <w:ilvl w:val="0"/>
          <w:numId w:val="12"/>
        </w:numPr>
        <w:spacing w:line="360" w:lineRule="auto"/>
        <w:ind w:left="426" w:hanging="426"/>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D</w:t>
      </w:r>
      <w:r w:rsidR="00001BC5" w:rsidRPr="009D3C6B">
        <w:rPr>
          <w:rFonts w:ascii="Times New Roman" w:hAnsi="Times New Roman" w:cs="Times New Roman"/>
          <w:color w:val="000000"/>
          <w:sz w:val="24"/>
          <w:szCs w:val="24"/>
          <w:lang w:val="id-ID"/>
        </w:rPr>
        <w:t>aerah/wilayah yang maju tapi tertekan (</w:t>
      </w:r>
      <w:r w:rsidR="00001BC5" w:rsidRPr="009D3C6B">
        <w:rPr>
          <w:rFonts w:ascii="Times New Roman" w:hAnsi="Times New Roman" w:cs="Times New Roman"/>
          <w:b/>
          <w:i/>
          <w:color w:val="000000"/>
          <w:sz w:val="24"/>
          <w:szCs w:val="24"/>
          <w:lang w:val="id-ID"/>
        </w:rPr>
        <w:t>High income but Low growth</w:t>
      </w:r>
      <w:r w:rsidR="00001BC5" w:rsidRPr="009D3C6B">
        <w:rPr>
          <w:rFonts w:ascii="Times New Roman" w:hAnsi="Times New Roman" w:cs="Times New Roman"/>
          <w:color w:val="000000"/>
          <w:sz w:val="24"/>
          <w:szCs w:val="24"/>
          <w:lang w:val="id-ID"/>
        </w:rPr>
        <w:t>) , Kabupaten  yang  masuk kategori  wilayah/daerah  yang maju tapi tertekan adalah :  1).  Kabupaten Kupang, 2). Kabupaten Timur Tengah Selatan (TTS) dan 3). Kabupaten Sumba Timur.</w:t>
      </w:r>
    </w:p>
    <w:p w14:paraId="0E99E5F8" w14:textId="5542B3C1" w:rsidR="00001BC5" w:rsidRPr="009D3C6B" w:rsidRDefault="00547279" w:rsidP="00001BC5">
      <w:pPr>
        <w:pStyle w:val="NoSpacing"/>
        <w:numPr>
          <w:ilvl w:val="0"/>
          <w:numId w:val="12"/>
        </w:numPr>
        <w:spacing w:line="360" w:lineRule="auto"/>
        <w:ind w:left="426" w:hanging="426"/>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D</w:t>
      </w:r>
      <w:r w:rsidR="00001BC5" w:rsidRPr="009D3C6B">
        <w:rPr>
          <w:rFonts w:ascii="Times New Roman" w:hAnsi="Times New Roman" w:cs="Times New Roman"/>
          <w:color w:val="000000"/>
          <w:sz w:val="24"/>
          <w:szCs w:val="24"/>
          <w:lang w:val="id-ID"/>
        </w:rPr>
        <w:t>aerah/wilayah potensial dan cepat berkembang (</w:t>
      </w:r>
      <w:r w:rsidR="00001BC5" w:rsidRPr="009D3C6B">
        <w:rPr>
          <w:rFonts w:ascii="Times New Roman" w:hAnsi="Times New Roman" w:cs="Times New Roman"/>
          <w:b/>
          <w:i/>
          <w:color w:val="000000"/>
          <w:sz w:val="24"/>
          <w:szCs w:val="24"/>
          <w:lang w:val="id-ID"/>
        </w:rPr>
        <w:t>High growth and Low  income</w:t>
      </w:r>
      <w:r w:rsidR="00001BC5" w:rsidRPr="009D3C6B">
        <w:rPr>
          <w:rFonts w:ascii="Times New Roman" w:hAnsi="Times New Roman" w:cs="Times New Roman"/>
          <w:color w:val="000000"/>
          <w:sz w:val="24"/>
          <w:szCs w:val="24"/>
          <w:lang w:val="id-ID"/>
        </w:rPr>
        <w:t>). Kabupaten yang masuk dalam kategori kabupaten potensial dan berkembang adalah: Kabupaten Belu,2). Kabupaten Alor,3). Kabupaten Lembata,4). Kabupaten Manggarai, 5). Kabupaten Ngada, 6). Kabupaten Manggarai Barat,. 7). Kabupaten Rote Ndao, 8). Kabupaten Manggarai Timur, 9). Kabupaten Sumba Barat  Daya, 10). Kabupaten Malaka, 11</w:t>
      </w:r>
      <w:r w:rsidRPr="009D3C6B">
        <w:rPr>
          <w:rFonts w:ascii="Times New Roman" w:hAnsi="Times New Roman" w:cs="Times New Roman"/>
          <w:color w:val="000000"/>
          <w:sz w:val="24"/>
          <w:szCs w:val="24"/>
          <w:lang w:val="id-ID"/>
        </w:rPr>
        <w:t>). Kabupaten Nagekeo, 12) Kabupaten</w:t>
      </w:r>
      <w:r w:rsidR="00001BC5" w:rsidRPr="009D3C6B">
        <w:rPr>
          <w:rFonts w:ascii="Times New Roman" w:hAnsi="Times New Roman" w:cs="Times New Roman"/>
          <w:color w:val="000000"/>
          <w:sz w:val="24"/>
          <w:szCs w:val="24"/>
          <w:lang w:val="id-ID"/>
        </w:rPr>
        <w:t xml:space="preserve"> sumba Tengah,  dan 13). Kabupaten Sabu Raijua,  </w:t>
      </w:r>
    </w:p>
    <w:p w14:paraId="411822E0" w14:textId="17876B82" w:rsidR="00001BC5" w:rsidRPr="009D3C6B" w:rsidRDefault="00547279" w:rsidP="00001BC5">
      <w:pPr>
        <w:pStyle w:val="NoSpacing"/>
        <w:numPr>
          <w:ilvl w:val="0"/>
          <w:numId w:val="12"/>
        </w:numPr>
        <w:spacing w:line="360" w:lineRule="auto"/>
        <w:ind w:left="426" w:hanging="426"/>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D</w:t>
      </w:r>
      <w:r w:rsidR="00001BC5" w:rsidRPr="009D3C6B">
        <w:rPr>
          <w:rFonts w:ascii="Times New Roman" w:hAnsi="Times New Roman" w:cs="Times New Roman"/>
          <w:color w:val="000000"/>
          <w:sz w:val="24"/>
          <w:szCs w:val="24"/>
          <w:lang w:val="id-ID"/>
        </w:rPr>
        <w:t xml:space="preserve">aerah  yang  relatif Tertinggal </w:t>
      </w:r>
      <w:r w:rsidR="005B5A87" w:rsidRPr="009D3C6B">
        <w:rPr>
          <w:rFonts w:ascii="Times New Roman" w:hAnsi="Times New Roman" w:cs="Times New Roman"/>
          <w:b/>
          <w:i/>
          <w:color w:val="000000"/>
          <w:sz w:val="24"/>
          <w:szCs w:val="24"/>
          <w:lang w:val="id-ID"/>
        </w:rPr>
        <w:t>(</w:t>
      </w:r>
      <w:r w:rsidR="00001BC5" w:rsidRPr="009D3C6B">
        <w:rPr>
          <w:rFonts w:ascii="Times New Roman" w:hAnsi="Times New Roman" w:cs="Times New Roman"/>
          <w:b/>
          <w:i/>
          <w:color w:val="000000"/>
          <w:sz w:val="24"/>
          <w:szCs w:val="24"/>
          <w:lang w:val="id-ID"/>
        </w:rPr>
        <w:t>Low Growth  and  Low income</w:t>
      </w:r>
      <w:r w:rsidR="00001BC5" w:rsidRPr="009D3C6B">
        <w:rPr>
          <w:rFonts w:ascii="Times New Roman" w:hAnsi="Times New Roman" w:cs="Times New Roman"/>
          <w:color w:val="000000"/>
          <w:sz w:val="24"/>
          <w:szCs w:val="24"/>
          <w:lang w:val="id-ID"/>
        </w:rPr>
        <w:t>). Kabupaten  yang  masuk   dalam  kategori   kabupaten   yang  relatif tertinggal  adalah1).Kabupaten  sumba Barat dan Kabupaten Timur Tengah  Utara (TTU) .</w:t>
      </w:r>
    </w:p>
    <w:p w14:paraId="7EDC0CBE" w14:textId="3A5391B9" w:rsidR="00760DBC" w:rsidRPr="009D3C6B" w:rsidRDefault="00547279" w:rsidP="00D10398">
      <w:pPr>
        <w:pStyle w:val="NoSpacing"/>
        <w:spacing w:line="360" w:lineRule="auto"/>
        <w:ind w:left="426"/>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Hasil  Penelitian tersebut  juga   menunjukan   bahwa   terdapat  ketimpangan    yang  cukup  signifikan antara   kota kupang  sebagai  ibukoka propinsi  NTT  dan  21 kabupaten  di NTT.</w:t>
      </w:r>
      <w:r w:rsidR="008A40DF" w:rsidRPr="009D3C6B">
        <w:rPr>
          <w:rFonts w:ascii="Times New Roman" w:hAnsi="Times New Roman" w:cs="Times New Roman"/>
          <w:color w:val="000000"/>
          <w:sz w:val="24"/>
          <w:szCs w:val="24"/>
          <w:lang w:val="id-ID"/>
        </w:rPr>
        <w:t xml:space="preserve">   Yang  walaupun   ada beberapa  kabupaten  seperti  Kabupaten  Ende, Flotim , Sikka  masuk dalam   kategori  Daerah   yang  maju berkembang.  Sehingga  penelitian  dengan   Judul  :  </w:t>
      </w:r>
      <w:r w:rsidR="008A40DF" w:rsidRPr="009D3C6B">
        <w:rPr>
          <w:rFonts w:ascii="Times New Roman" w:hAnsi="Times New Roman" w:cs="Times New Roman"/>
          <w:b/>
          <w:i/>
          <w:color w:val="000000"/>
          <w:sz w:val="24"/>
          <w:szCs w:val="24"/>
          <w:lang w:val="id-ID"/>
        </w:rPr>
        <w:t>Studi  Komparasi  Ketimpangan  da</w:t>
      </w:r>
      <w:r w:rsidR="00D10398" w:rsidRPr="009D3C6B">
        <w:rPr>
          <w:rFonts w:ascii="Times New Roman" w:hAnsi="Times New Roman" w:cs="Times New Roman"/>
          <w:b/>
          <w:i/>
          <w:color w:val="000000"/>
          <w:sz w:val="24"/>
          <w:szCs w:val="24"/>
          <w:lang w:val="id-ID"/>
        </w:rPr>
        <w:t>n</w:t>
      </w:r>
      <w:r w:rsidR="008A40DF" w:rsidRPr="009D3C6B">
        <w:rPr>
          <w:rFonts w:ascii="Times New Roman" w:hAnsi="Times New Roman" w:cs="Times New Roman"/>
          <w:b/>
          <w:i/>
          <w:color w:val="000000"/>
          <w:sz w:val="24"/>
          <w:szCs w:val="24"/>
          <w:lang w:val="id-ID"/>
        </w:rPr>
        <w:t xml:space="preserve"> Distribusi  Pendapatan  antar  Kabupaten  kota  Di Provinsi  NTT  periode 2013-</w:t>
      </w:r>
      <w:r w:rsidR="008A40DF" w:rsidRPr="009D3C6B">
        <w:rPr>
          <w:rFonts w:ascii="Times New Roman" w:hAnsi="Times New Roman" w:cs="Times New Roman"/>
          <w:b/>
          <w:i/>
          <w:color w:val="000000"/>
          <w:sz w:val="24"/>
          <w:szCs w:val="24"/>
          <w:lang w:val="id-ID"/>
        </w:rPr>
        <w:lastRenderedPageBreak/>
        <w:t>2019</w:t>
      </w:r>
      <w:r w:rsidR="008A40DF" w:rsidRPr="009D3C6B">
        <w:rPr>
          <w:rFonts w:ascii="Times New Roman" w:hAnsi="Times New Roman" w:cs="Times New Roman"/>
          <w:b/>
          <w:color w:val="000000"/>
          <w:sz w:val="24"/>
          <w:szCs w:val="24"/>
          <w:lang w:val="id-ID"/>
        </w:rPr>
        <w:t xml:space="preserve">, </w:t>
      </w:r>
      <w:r w:rsidR="00314E97" w:rsidRPr="009D3C6B">
        <w:rPr>
          <w:rFonts w:ascii="Times New Roman" w:hAnsi="Times New Roman" w:cs="Times New Roman"/>
          <w:sz w:val="24"/>
          <w:szCs w:val="24"/>
          <w:lang w:val="id-ID"/>
        </w:rPr>
        <w:t xml:space="preserve">perlu diteliti </w:t>
      </w:r>
      <w:r w:rsidR="00D10398" w:rsidRPr="009D3C6B">
        <w:rPr>
          <w:rFonts w:ascii="Times New Roman" w:hAnsi="Times New Roman" w:cs="Times New Roman"/>
          <w:sz w:val="24"/>
          <w:szCs w:val="24"/>
          <w:lang w:val="id-ID"/>
        </w:rPr>
        <w:t xml:space="preserve">guna mengetahui sejauhmana implementasi  rencana  program/kegiatan  pembangunan yang dilakukan di </w:t>
      </w:r>
      <w:r w:rsidR="00314E97" w:rsidRPr="009D3C6B">
        <w:rPr>
          <w:rFonts w:ascii="Times New Roman" w:hAnsi="Times New Roman" w:cs="Times New Roman"/>
          <w:bCs/>
          <w:sz w:val="24"/>
          <w:szCs w:val="24"/>
          <w:lang w:val="id-ID"/>
        </w:rPr>
        <w:t>Provinsi  Nusa Tenggara Timur</w:t>
      </w:r>
      <w:r w:rsidR="00D10398" w:rsidRPr="009D3C6B">
        <w:rPr>
          <w:rFonts w:ascii="Times New Roman" w:hAnsi="Times New Roman" w:cs="Times New Roman"/>
          <w:bCs/>
          <w:sz w:val="24"/>
          <w:szCs w:val="24"/>
          <w:lang w:val="id-ID"/>
        </w:rPr>
        <w:t>. B</w:t>
      </w:r>
      <w:r w:rsidR="00314E97" w:rsidRPr="009D3C6B">
        <w:rPr>
          <w:rFonts w:ascii="Times New Roman" w:hAnsi="Times New Roman" w:cs="Times New Roman"/>
          <w:bCs/>
          <w:sz w:val="24"/>
          <w:szCs w:val="24"/>
          <w:lang w:val="id-ID"/>
        </w:rPr>
        <w:t xml:space="preserve">erdasarkan  data </w:t>
      </w:r>
      <w:r w:rsidR="00760DBC" w:rsidRPr="009D3C6B">
        <w:rPr>
          <w:rFonts w:ascii="Times New Roman" w:hAnsi="Times New Roman" w:cs="Times New Roman"/>
          <w:bCs/>
          <w:sz w:val="24"/>
          <w:szCs w:val="24"/>
          <w:lang w:val="id-ID"/>
        </w:rPr>
        <w:t xml:space="preserve">BPS    </w:t>
      </w:r>
      <w:r w:rsidR="00D10398" w:rsidRPr="009D3C6B">
        <w:rPr>
          <w:rFonts w:ascii="Times New Roman" w:hAnsi="Times New Roman" w:cs="Times New Roman"/>
          <w:bCs/>
          <w:sz w:val="24"/>
          <w:szCs w:val="24"/>
          <w:lang w:val="id-ID"/>
        </w:rPr>
        <w:t>tahu</w:t>
      </w:r>
      <w:r w:rsidR="00760DBC" w:rsidRPr="009D3C6B">
        <w:rPr>
          <w:rFonts w:ascii="Times New Roman" w:hAnsi="Times New Roman" w:cs="Times New Roman"/>
          <w:bCs/>
          <w:sz w:val="24"/>
          <w:szCs w:val="24"/>
          <w:lang w:val="id-ID"/>
        </w:rPr>
        <w:t xml:space="preserve">n  2018 </w:t>
      </w:r>
      <w:r w:rsidR="00D10398" w:rsidRPr="009D3C6B">
        <w:rPr>
          <w:rFonts w:ascii="Times New Roman" w:hAnsi="Times New Roman" w:cs="Times New Roman"/>
          <w:bCs/>
          <w:sz w:val="24"/>
          <w:szCs w:val="24"/>
          <w:lang w:val="id-ID"/>
        </w:rPr>
        <w:t>pertumbuha</w:t>
      </w:r>
      <w:r w:rsidR="00314E97" w:rsidRPr="009D3C6B">
        <w:rPr>
          <w:rFonts w:ascii="Times New Roman" w:hAnsi="Times New Roman" w:cs="Times New Roman"/>
          <w:bCs/>
          <w:sz w:val="24"/>
          <w:szCs w:val="24"/>
          <w:lang w:val="id-ID"/>
        </w:rPr>
        <w:t>n ekono</w:t>
      </w:r>
      <w:r w:rsidR="00760DBC" w:rsidRPr="009D3C6B">
        <w:rPr>
          <w:rFonts w:ascii="Times New Roman" w:hAnsi="Times New Roman" w:cs="Times New Roman"/>
          <w:bCs/>
          <w:sz w:val="24"/>
          <w:szCs w:val="24"/>
          <w:lang w:val="id-ID"/>
        </w:rPr>
        <w:t xml:space="preserve">mi  naik  cukup  signifikan </w:t>
      </w:r>
      <w:r w:rsidR="00314E97" w:rsidRPr="009D3C6B">
        <w:rPr>
          <w:rFonts w:ascii="Times New Roman" w:hAnsi="Times New Roman" w:cs="Times New Roman"/>
          <w:bCs/>
          <w:sz w:val="24"/>
          <w:szCs w:val="24"/>
          <w:lang w:val="id-ID"/>
        </w:rPr>
        <w:t xml:space="preserve"> ketika  di  sandingkan  dengan data pendduduk  miskin  juga naik pada periode tahun 2011-2016. Sedangk</w:t>
      </w:r>
      <w:r w:rsidR="00760DBC" w:rsidRPr="009D3C6B">
        <w:rPr>
          <w:rFonts w:ascii="Times New Roman" w:hAnsi="Times New Roman" w:cs="Times New Roman"/>
          <w:bCs/>
          <w:sz w:val="24"/>
          <w:szCs w:val="24"/>
          <w:lang w:val="id-ID"/>
        </w:rPr>
        <w:t xml:space="preserve">an data PDRB </w:t>
      </w:r>
      <w:r w:rsidR="00314E97" w:rsidRPr="009D3C6B">
        <w:rPr>
          <w:rFonts w:ascii="Times New Roman" w:hAnsi="Times New Roman" w:cs="Times New Roman"/>
          <w:bCs/>
          <w:sz w:val="24"/>
          <w:szCs w:val="24"/>
          <w:lang w:val="id-ID"/>
        </w:rPr>
        <w:t>berfluktuasi.</w:t>
      </w:r>
      <w:r w:rsidR="00760DBC" w:rsidRPr="009D3C6B">
        <w:rPr>
          <w:rFonts w:ascii="Times New Roman" w:hAnsi="Times New Roman" w:cs="Times New Roman"/>
          <w:bCs/>
          <w:sz w:val="24"/>
          <w:szCs w:val="24"/>
          <w:lang w:val="id-ID"/>
        </w:rPr>
        <w:t xml:space="preserve">  </w:t>
      </w:r>
    </w:p>
    <w:p w14:paraId="3CCD8572" w14:textId="66BA6F50" w:rsidR="00B2059C" w:rsidRPr="009D3C6B" w:rsidRDefault="00AE7238" w:rsidP="00AE7238">
      <w:pPr>
        <w:pStyle w:val="Body"/>
        <w:spacing w:after="0" w:line="360" w:lineRule="auto"/>
        <w:rPr>
          <w:sz w:val="24"/>
          <w:szCs w:val="24"/>
          <w:lang w:val="id-ID"/>
        </w:rPr>
      </w:pPr>
      <w:r w:rsidRPr="009D3C6B">
        <w:rPr>
          <w:sz w:val="24"/>
          <w:szCs w:val="24"/>
        </w:rPr>
        <w:t>Penelitian seperti ini sudah banyak dilakukan oleh peneliti</w:t>
      </w:r>
      <w:r w:rsidR="00D96228" w:rsidRPr="009D3C6B">
        <w:rPr>
          <w:sz w:val="24"/>
          <w:szCs w:val="24"/>
        </w:rPr>
        <w:t xml:space="preserve"> –peneliti  terdahulu  se</w:t>
      </w:r>
      <w:r w:rsidR="00D96228" w:rsidRPr="009D3C6B">
        <w:rPr>
          <w:sz w:val="24"/>
          <w:szCs w:val="24"/>
          <w:lang w:val="id-ID"/>
        </w:rPr>
        <w:t>bagai berikut  :</w:t>
      </w:r>
    </w:p>
    <w:p w14:paraId="53EB4693" w14:textId="0A25BB96" w:rsidR="00D24E44" w:rsidRPr="009D3C6B" w:rsidRDefault="004D568D" w:rsidP="00D34032">
      <w:pPr>
        <w:pStyle w:val="Body"/>
        <w:spacing w:after="0" w:line="360" w:lineRule="auto"/>
        <w:ind w:firstLine="0"/>
        <w:rPr>
          <w:b/>
          <w:bCs/>
          <w:sz w:val="24"/>
          <w:szCs w:val="24"/>
          <w:lang w:val="id-ID"/>
        </w:rPr>
      </w:pPr>
      <w:r w:rsidRPr="009D3C6B">
        <w:rPr>
          <w:sz w:val="24"/>
          <w:szCs w:val="24"/>
          <w:lang w:val="id-ID"/>
        </w:rPr>
        <w:t>Estherlina  Sagajoka, Dan Falentina Lucia Banda</w:t>
      </w:r>
      <w:r w:rsidR="00D24E44" w:rsidRPr="009D3C6B">
        <w:rPr>
          <w:sz w:val="24"/>
          <w:szCs w:val="24"/>
          <w:lang w:val="id-ID"/>
        </w:rPr>
        <w:t xml:space="preserve"> tahun 2019, dengan judul  </w:t>
      </w:r>
      <w:r w:rsidR="00D34032" w:rsidRPr="009D3C6B">
        <w:rPr>
          <w:sz w:val="24"/>
          <w:szCs w:val="24"/>
          <w:lang w:val="id-ID"/>
        </w:rPr>
        <w:t xml:space="preserve"> </w:t>
      </w:r>
      <w:r w:rsidR="00D24E44" w:rsidRPr="009D3C6B">
        <w:rPr>
          <w:sz w:val="24"/>
          <w:szCs w:val="24"/>
        </w:rPr>
        <w:t>Analysis of the characteristics and development disparities among</w:t>
      </w:r>
      <w:r w:rsidR="00D24E44" w:rsidRPr="009D3C6B">
        <w:rPr>
          <w:sz w:val="24"/>
          <w:szCs w:val="24"/>
          <w:lang w:val="id-ID"/>
        </w:rPr>
        <w:t xml:space="preserve"> </w:t>
      </w:r>
      <w:r w:rsidR="00D24E44" w:rsidRPr="009D3C6B">
        <w:rPr>
          <w:sz w:val="24"/>
          <w:szCs w:val="24"/>
        </w:rPr>
        <w:t>districts/cities in east nusa tenggara province</w:t>
      </w:r>
      <w:r w:rsidR="00D24E44" w:rsidRPr="009D3C6B">
        <w:rPr>
          <w:sz w:val="24"/>
          <w:szCs w:val="24"/>
          <w:lang w:val="id-ID"/>
        </w:rPr>
        <w:t>, hasilnya  menunjukan  bahwa   masing –masing kabupaten  kota  di propinsi   Nusa  Tenggara Ti</w:t>
      </w:r>
      <w:r w:rsidR="00BA3C53" w:rsidRPr="009D3C6B">
        <w:rPr>
          <w:sz w:val="24"/>
          <w:szCs w:val="24"/>
          <w:lang w:val="id-ID"/>
        </w:rPr>
        <w:t xml:space="preserve">mur  memiliki  Karakterisrik </w:t>
      </w:r>
      <w:r w:rsidR="00D24E44" w:rsidRPr="009D3C6B">
        <w:rPr>
          <w:sz w:val="24"/>
          <w:szCs w:val="24"/>
          <w:lang w:val="id-ID"/>
        </w:rPr>
        <w:t>yang  berbed</w:t>
      </w:r>
      <w:r w:rsidR="00BA3C53" w:rsidRPr="009D3C6B">
        <w:rPr>
          <w:sz w:val="24"/>
          <w:szCs w:val="24"/>
          <w:lang w:val="id-ID"/>
        </w:rPr>
        <w:t>a antara kabupaten/kota</w:t>
      </w:r>
      <w:r w:rsidR="00D24E44" w:rsidRPr="009D3C6B">
        <w:rPr>
          <w:sz w:val="24"/>
          <w:szCs w:val="24"/>
          <w:lang w:val="id-ID"/>
        </w:rPr>
        <w:t>,</w:t>
      </w:r>
      <w:r w:rsidR="00BA3C53" w:rsidRPr="009D3C6B">
        <w:rPr>
          <w:sz w:val="24"/>
          <w:szCs w:val="24"/>
          <w:lang w:val="id-ID"/>
        </w:rPr>
        <w:t xml:space="preserve"> </w:t>
      </w:r>
      <w:r w:rsidR="00E95F10" w:rsidRPr="009D3C6B">
        <w:rPr>
          <w:sz w:val="24"/>
          <w:szCs w:val="24"/>
          <w:lang w:val="id-ID"/>
        </w:rPr>
        <w:t xml:space="preserve">yang disebabkan  oleh karena perbedaan  sumberdaya  baik sumber daya alam rmaupun sumber manusia  yang diimiliki oleh masing-masing wilayah </w:t>
      </w:r>
      <w:r w:rsidR="00BA3C53" w:rsidRPr="009D3C6B">
        <w:rPr>
          <w:sz w:val="24"/>
          <w:szCs w:val="24"/>
          <w:lang w:val="id-ID"/>
        </w:rPr>
        <w:t xml:space="preserve">sedang Disparitas antara kabupaten  kota berdasarkan hasil Indeks Williamson </w:t>
      </w:r>
      <w:r w:rsidR="00E95F10" w:rsidRPr="009D3C6B">
        <w:rPr>
          <w:sz w:val="24"/>
          <w:szCs w:val="24"/>
          <w:lang w:val="id-ID"/>
        </w:rPr>
        <w:t xml:space="preserve">menunjukan angka  0,0 -0,11  hal tersebut </w:t>
      </w:r>
      <w:r w:rsidR="00BA3C53" w:rsidRPr="009D3C6B">
        <w:rPr>
          <w:sz w:val="24"/>
          <w:szCs w:val="24"/>
          <w:lang w:val="id-ID"/>
        </w:rPr>
        <w:t xml:space="preserve">mengindikasikan bahwa  </w:t>
      </w:r>
      <w:r w:rsidR="00E95F10" w:rsidRPr="009D3C6B">
        <w:rPr>
          <w:sz w:val="24"/>
          <w:szCs w:val="24"/>
          <w:lang w:val="id-ID"/>
        </w:rPr>
        <w:t>ketimpangan pembangunan Ekonomi</w:t>
      </w:r>
      <w:r w:rsidR="00BA3C53" w:rsidRPr="009D3C6B">
        <w:rPr>
          <w:sz w:val="24"/>
          <w:szCs w:val="24"/>
          <w:lang w:val="id-ID"/>
        </w:rPr>
        <w:t xml:space="preserve">  di  provinsi NTT  merata  hampir di semua  kabupaten  kecuali   Kota  Kupang     yang   nilainya  hampir  mendekati  1  yakni  0,63 %  hal  ini  mengindikasikan   bahwa  </w:t>
      </w:r>
      <w:r w:rsidR="00E95F10" w:rsidRPr="009D3C6B">
        <w:rPr>
          <w:sz w:val="24"/>
          <w:szCs w:val="24"/>
          <w:lang w:val="id-ID"/>
        </w:rPr>
        <w:t>ketimpangan Pembaagunan   kota   K</w:t>
      </w:r>
      <w:r w:rsidR="00BA3C53" w:rsidRPr="009D3C6B">
        <w:rPr>
          <w:sz w:val="24"/>
          <w:szCs w:val="24"/>
          <w:lang w:val="id-ID"/>
        </w:rPr>
        <w:t>upang  tidak  merata  di bandingkan  dengan  kabupaten- kabupaten    lainnya  di  propinsi  NTT..</w:t>
      </w:r>
    </w:p>
    <w:p w14:paraId="3564E586" w14:textId="1CE8320F" w:rsidR="00C82C0F" w:rsidRPr="009D3C6B" w:rsidRDefault="00B767DC" w:rsidP="00B767DC">
      <w:pPr>
        <w:spacing w:line="360" w:lineRule="auto"/>
        <w:ind w:firstLine="567"/>
        <w:jc w:val="both"/>
        <w:rPr>
          <w:color w:val="000000"/>
          <w:lang w:val="id-ID"/>
        </w:rPr>
      </w:pPr>
      <w:proofErr w:type="spellStart"/>
      <w:r w:rsidRPr="009D3C6B">
        <w:rPr>
          <w:color w:val="000000"/>
        </w:rPr>
        <w:t>Nur</w:t>
      </w:r>
      <w:proofErr w:type="spellEnd"/>
      <w:r w:rsidRPr="009D3C6B">
        <w:rPr>
          <w:color w:val="000000"/>
        </w:rPr>
        <w:t xml:space="preserve"> </w:t>
      </w:r>
      <w:proofErr w:type="spellStart"/>
      <w:r w:rsidRPr="009D3C6B">
        <w:rPr>
          <w:color w:val="000000"/>
        </w:rPr>
        <w:t>Azmi</w:t>
      </w:r>
      <w:proofErr w:type="spellEnd"/>
      <w:r w:rsidRPr="009D3C6B">
        <w:rPr>
          <w:color w:val="000000"/>
        </w:rPr>
        <w:t xml:space="preserve"> </w:t>
      </w:r>
      <w:proofErr w:type="spellStart"/>
      <w:proofErr w:type="gramStart"/>
      <w:r w:rsidRPr="009D3C6B">
        <w:rPr>
          <w:color w:val="000000"/>
        </w:rPr>
        <w:t>Karim</w:t>
      </w:r>
      <w:proofErr w:type="spellEnd"/>
      <w:r w:rsidRPr="009D3C6B">
        <w:rPr>
          <w:color w:val="000000"/>
        </w:rPr>
        <w:t xml:space="preserve"> </w:t>
      </w:r>
      <w:r w:rsidR="00395909" w:rsidRPr="009D3C6B">
        <w:rPr>
          <w:color w:val="000000"/>
        </w:rPr>
        <w:t xml:space="preserve"> </w:t>
      </w:r>
      <w:r w:rsidRPr="009D3C6B">
        <w:rPr>
          <w:color w:val="000000"/>
          <w:lang w:val="id-ID"/>
        </w:rPr>
        <w:t>dkk</w:t>
      </w:r>
      <w:proofErr w:type="gramEnd"/>
      <w:r w:rsidRPr="009D3C6B">
        <w:rPr>
          <w:color w:val="000000"/>
          <w:lang w:val="id-ID"/>
        </w:rPr>
        <w:t>.</w:t>
      </w:r>
      <w:r w:rsidR="00C82C0F" w:rsidRPr="009D3C6B">
        <w:rPr>
          <w:color w:val="000000"/>
          <w:lang w:val="id-ID"/>
        </w:rPr>
        <w:t xml:space="preserve"> dengan  Judul  </w:t>
      </w:r>
      <w:proofErr w:type="spellStart"/>
      <w:r w:rsidR="00C82C0F" w:rsidRPr="009D3C6B">
        <w:rPr>
          <w:color w:val="000000"/>
        </w:rPr>
        <w:t>Studi</w:t>
      </w:r>
      <w:proofErr w:type="spellEnd"/>
      <w:r w:rsidR="00C82C0F" w:rsidRPr="009D3C6B">
        <w:rPr>
          <w:color w:val="000000"/>
        </w:rPr>
        <w:t xml:space="preserve"> </w:t>
      </w:r>
      <w:proofErr w:type="spellStart"/>
      <w:r w:rsidR="00C82C0F" w:rsidRPr="009D3C6B">
        <w:rPr>
          <w:color w:val="000000"/>
        </w:rPr>
        <w:t>Komparasi</w:t>
      </w:r>
      <w:proofErr w:type="spellEnd"/>
      <w:r w:rsidR="00C82C0F" w:rsidRPr="009D3C6B">
        <w:rPr>
          <w:color w:val="000000"/>
        </w:rPr>
        <w:t xml:space="preserve"> </w:t>
      </w:r>
      <w:r w:rsidR="00B24D0D" w:rsidRPr="009D3C6B">
        <w:rPr>
          <w:color w:val="000000"/>
          <w:lang w:val="id-ID"/>
        </w:rPr>
        <w:t>Pem</w:t>
      </w:r>
      <w:proofErr w:type="spellStart"/>
      <w:r w:rsidR="00C82C0F" w:rsidRPr="009D3C6B">
        <w:rPr>
          <w:color w:val="000000"/>
        </w:rPr>
        <w:t>bangunan</w:t>
      </w:r>
      <w:proofErr w:type="spellEnd"/>
      <w:r w:rsidR="00C82C0F" w:rsidRPr="009D3C6B">
        <w:rPr>
          <w:color w:val="000000"/>
        </w:rPr>
        <w:t xml:space="preserve"> </w:t>
      </w:r>
      <w:proofErr w:type="spellStart"/>
      <w:r w:rsidR="00C82C0F" w:rsidRPr="009D3C6B">
        <w:rPr>
          <w:color w:val="000000"/>
        </w:rPr>
        <w:t>Ekonomi</w:t>
      </w:r>
      <w:proofErr w:type="spellEnd"/>
      <w:r w:rsidR="00C82C0F" w:rsidRPr="009D3C6B">
        <w:rPr>
          <w:color w:val="000000"/>
        </w:rPr>
        <w:t xml:space="preserve"> </w:t>
      </w:r>
      <w:proofErr w:type="spellStart"/>
      <w:r w:rsidR="00C82C0F" w:rsidRPr="009D3C6B">
        <w:rPr>
          <w:color w:val="000000"/>
        </w:rPr>
        <w:t>Antar</w:t>
      </w:r>
      <w:proofErr w:type="spellEnd"/>
      <w:r w:rsidR="00C82C0F" w:rsidRPr="009D3C6B">
        <w:rPr>
          <w:color w:val="000000"/>
        </w:rPr>
        <w:t xml:space="preserve"> </w:t>
      </w:r>
      <w:proofErr w:type="spellStart"/>
      <w:r w:rsidR="00C82C0F" w:rsidRPr="009D3C6B">
        <w:rPr>
          <w:color w:val="000000"/>
        </w:rPr>
        <w:t>kabupaten</w:t>
      </w:r>
      <w:proofErr w:type="spellEnd"/>
      <w:r w:rsidR="00C82C0F" w:rsidRPr="009D3C6B">
        <w:rPr>
          <w:color w:val="000000"/>
        </w:rPr>
        <w:t xml:space="preserve"> </w:t>
      </w:r>
      <w:r w:rsidR="00C82C0F" w:rsidRPr="009D3C6B">
        <w:rPr>
          <w:color w:val="000000"/>
          <w:lang w:val="id-ID"/>
        </w:rPr>
        <w:t>/kota di Provinsi Jawa Barat. Pada  tahun 2019, menggunakan  analisis Typologi Klassen dan   Indeks williamson</w:t>
      </w:r>
      <w:r w:rsidR="00B24D0D" w:rsidRPr="009D3C6B">
        <w:rPr>
          <w:color w:val="000000"/>
          <w:lang w:val="id-ID"/>
        </w:rPr>
        <w:t xml:space="preserve"> dimanai  hasilnya  menunjukan  bahwa pada periode 2010 -2015 kabupaten/kota  diprovinsi Jawa   Barat  memiliki Tingkat pertumbuhan  Ekonomi yang  berbeda-beda, perbedaan tersebut terjadi karena perpedaan  Sumber daya manusia dan besarnya  Investasi  baik oleh pemerintah  maupun swasta,</w:t>
      </w:r>
    </w:p>
    <w:p w14:paraId="20C6D93A" w14:textId="50AA77DC" w:rsidR="0044605D" w:rsidRPr="009D3C6B" w:rsidRDefault="00B24D0D" w:rsidP="00D34032">
      <w:pPr>
        <w:spacing w:line="360" w:lineRule="auto"/>
        <w:ind w:firstLine="567"/>
        <w:jc w:val="both"/>
        <w:rPr>
          <w:color w:val="000000"/>
          <w:lang w:val="id-ID"/>
        </w:rPr>
      </w:pPr>
      <w:r w:rsidRPr="009D3C6B">
        <w:rPr>
          <w:color w:val="000000"/>
          <w:lang w:val="id-ID"/>
        </w:rPr>
        <w:t xml:space="preserve">Penelitian </w:t>
      </w:r>
      <w:r w:rsidRPr="009D3C6B">
        <w:rPr>
          <w:lang w:val="id-ID"/>
        </w:rPr>
        <w:t xml:space="preserve">Abid Muhtarom  dengan  judul  : </w:t>
      </w:r>
      <w:r w:rsidR="0044605D" w:rsidRPr="009D3C6B">
        <w:rPr>
          <w:lang w:val="id-ID"/>
        </w:rPr>
        <w:t>1). Pen</w:t>
      </w:r>
      <w:r w:rsidR="00E95F10" w:rsidRPr="009D3C6B">
        <w:rPr>
          <w:lang w:val="id-ID"/>
        </w:rPr>
        <w:t xml:space="preserve">garuh </w:t>
      </w:r>
      <w:r w:rsidR="00215A4C" w:rsidRPr="009D3C6B">
        <w:rPr>
          <w:lang w:val="id-ID"/>
        </w:rPr>
        <w:t xml:space="preserve"> Investasi dan Tenaga Kerja  Terhadap Pertumbuhan Ekonomi  Indonesia tahun 2019. Menunjukan </w:t>
      </w:r>
      <w:r w:rsidR="009F2EB5" w:rsidRPr="009D3C6B">
        <w:rPr>
          <w:lang w:val="id-ID"/>
        </w:rPr>
        <w:t xml:space="preserve"> bahwa </w:t>
      </w:r>
      <w:r w:rsidR="00793C93" w:rsidRPr="009D3C6B">
        <w:rPr>
          <w:lang w:val="id-ID"/>
        </w:rPr>
        <w:t xml:space="preserve"> besarnya investasi berpengaruh terhadap Pertumbuhan </w:t>
      </w:r>
      <w:r w:rsidR="00215A4C" w:rsidRPr="009D3C6B">
        <w:rPr>
          <w:lang w:val="id-ID"/>
        </w:rPr>
        <w:t xml:space="preserve"> Ekonomi, Pen</w:t>
      </w:r>
      <w:r w:rsidR="00793C93" w:rsidRPr="009D3C6B">
        <w:rPr>
          <w:lang w:val="id-ID"/>
        </w:rPr>
        <w:t xml:space="preserve">anganan Ketimpangan pendapatan dan Tenaga kerja. Yang berdampak pada </w:t>
      </w:r>
      <w:r w:rsidR="009F2EB5" w:rsidRPr="009D3C6B">
        <w:rPr>
          <w:lang w:val="id-ID"/>
        </w:rPr>
        <w:t xml:space="preserve"> keterpurukan E</w:t>
      </w:r>
      <w:r w:rsidR="009F2EB5" w:rsidRPr="009D3C6B">
        <w:rPr>
          <w:color w:val="000000"/>
          <w:lang w:val="id-ID"/>
        </w:rPr>
        <w:t>konomi Indonesia pada periode 1990-2007.</w:t>
      </w:r>
      <w:r w:rsidR="0044605D" w:rsidRPr="009D3C6B">
        <w:rPr>
          <w:color w:val="000000"/>
          <w:lang w:val="id-ID"/>
        </w:rPr>
        <w:t xml:space="preserve"> 2). </w:t>
      </w:r>
      <w:r w:rsidR="0044605D" w:rsidRPr="009D3C6B">
        <w:rPr>
          <w:lang w:val="id-ID"/>
        </w:rPr>
        <w:t xml:space="preserve">Disparitas Pendapatan Regional Kabupaten dan kota di Provinsi Jawa Timur, tahun 2017, Hasilnya menunjukan  bahwa </w:t>
      </w:r>
      <w:r w:rsidR="004D568D" w:rsidRPr="009D3C6B">
        <w:rPr>
          <w:lang w:val="id-ID"/>
        </w:rPr>
        <w:t xml:space="preserve">Struktur dan  dan ragam pertumbuhan Ekonomi kabupaten  kota  di Provinsi Jawa Timur </w:t>
      </w:r>
      <w:r w:rsidR="004D568D" w:rsidRPr="009D3C6B">
        <w:rPr>
          <w:lang w:val="id-ID"/>
        </w:rPr>
        <w:lastRenderedPageBreak/>
        <w:t>berbeda-berda, perbedaan tersebut deda-berda, perbedaan tersebut deda-berda, perbedaan tersebut disebabkan  karena sektor potensial antar  daerah  berbedaeda yang berdampak  pada  Disparitas  pendapatan regional  di hampir semua  dae</w:t>
      </w:r>
      <w:r w:rsidR="00E95F10" w:rsidRPr="009D3C6B">
        <w:rPr>
          <w:lang w:val="id-ID"/>
        </w:rPr>
        <w:t>rah.</w:t>
      </w:r>
    </w:p>
    <w:p w14:paraId="3A598491" w14:textId="6E3A48F6" w:rsidR="001D4A2C" w:rsidRPr="009D3C6B" w:rsidRDefault="00AE7238" w:rsidP="00B767DC">
      <w:pPr>
        <w:pStyle w:val="Body"/>
        <w:spacing w:after="0" w:line="360" w:lineRule="auto"/>
        <w:ind w:firstLine="851"/>
        <w:rPr>
          <w:sz w:val="24"/>
          <w:szCs w:val="24"/>
          <w:lang w:val="id-ID"/>
        </w:rPr>
      </w:pPr>
      <w:r w:rsidRPr="009D3C6B">
        <w:rPr>
          <w:sz w:val="24"/>
          <w:szCs w:val="24"/>
          <w:lang w:val="id-ID"/>
        </w:rPr>
        <w:t xml:space="preserve">Perbedaan  penelitian  ini dengan  </w:t>
      </w:r>
      <w:r w:rsidR="003904CB">
        <w:rPr>
          <w:sz w:val="24"/>
          <w:szCs w:val="24"/>
          <w:lang w:val="id-ID"/>
        </w:rPr>
        <w:t>i</w:t>
      </w:r>
      <w:r w:rsidRPr="009D3C6B">
        <w:rPr>
          <w:sz w:val="24"/>
          <w:szCs w:val="24"/>
          <w:lang w:val="id-ID"/>
        </w:rPr>
        <w:t xml:space="preserve">penelitian  terdahulu  adalah lokasi  yang  berbeda, hal  yang  menarik  dalam  penelitian ini  </w:t>
      </w:r>
      <w:r w:rsidR="00E95F10" w:rsidRPr="009D3C6B">
        <w:rPr>
          <w:sz w:val="24"/>
          <w:szCs w:val="24"/>
          <w:lang w:val="id-ID"/>
        </w:rPr>
        <w:t xml:space="preserve">adalah </w:t>
      </w:r>
      <w:r w:rsidR="00CB1248" w:rsidRPr="009D3C6B">
        <w:rPr>
          <w:sz w:val="24"/>
          <w:szCs w:val="24"/>
          <w:lang w:val="id-ID"/>
        </w:rPr>
        <w:t xml:space="preserve"> mengkaji dan  menganalisis  </w:t>
      </w:r>
      <w:r w:rsidR="009D3C6B">
        <w:rPr>
          <w:sz w:val="24"/>
          <w:szCs w:val="24"/>
          <w:lang w:val="id-ID"/>
        </w:rPr>
        <w:t>Studi</w:t>
      </w:r>
      <w:r w:rsidR="00E95F10" w:rsidRPr="009D3C6B">
        <w:rPr>
          <w:sz w:val="24"/>
          <w:szCs w:val="24"/>
          <w:lang w:val="id-ID"/>
        </w:rPr>
        <w:t xml:space="preserve"> komparasi  Ketimpangan Pembangunan </w:t>
      </w:r>
      <w:r w:rsidR="00B767DC" w:rsidRPr="009D3C6B">
        <w:rPr>
          <w:sz w:val="24"/>
          <w:szCs w:val="24"/>
          <w:lang w:val="id-ID"/>
        </w:rPr>
        <w:t>antar  Kabupaten/kota</w:t>
      </w:r>
      <w:r w:rsidR="001655A1" w:rsidRPr="009D3C6B">
        <w:rPr>
          <w:sz w:val="24"/>
          <w:szCs w:val="24"/>
          <w:lang w:val="id-ID"/>
        </w:rPr>
        <w:t xml:space="preserve"> dan </w:t>
      </w:r>
      <w:r w:rsidR="009D3C6B">
        <w:rPr>
          <w:sz w:val="24"/>
          <w:szCs w:val="24"/>
          <w:lang w:val="id-ID"/>
        </w:rPr>
        <w:t xml:space="preserve">disparitas  Pendapatan </w:t>
      </w:r>
      <w:r w:rsidR="00B767DC" w:rsidRPr="009D3C6B">
        <w:rPr>
          <w:sz w:val="24"/>
          <w:szCs w:val="24"/>
          <w:lang w:val="id-ID"/>
        </w:rPr>
        <w:t xml:space="preserve"> masing-masing</w:t>
      </w:r>
      <w:r w:rsidR="001655A1" w:rsidRPr="009D3C6B">
        <w:rPr>
          <w:sz w:val="24"/>
          <w:szCs w:val="24"/>
          <w:lang w:val="id-ID"/>
        </w:rPr>
        <w:t xml:space="preserve"> kabupaten kota  di Privinsi </w:t>
      </w:r>
      <w:r w:rsidR="00BB479D" w:rsidRPr="009D3C6B">
        <w:rPr>
          <w:sz w:val="24"/>
          <w:szCs w:val="24"/>
          <w:lang w:val="id-ID"/>
        </w:rPr>
        <w:t>Nusa</w:t>
      </w:r>
      <w:r w:rsidR="00B767DC" w:rsidRPr="009D3C6B">
        <w:rPr>
          <w:sz w:val="24"/>
          <w:szCs w:val="24"/>
          <w:lang w:val="id-ID"/>
        </w:rPr>
        <w:t xml:space="preserve"> Tenggara Timur  tahun 2013-2018.</w:t>
      </w:r>
      <w:r w:rsidR="009D3C6B">
        <w:rPr>
          <w:sz w:val="24"/>
          <w:szCs w:val="24"/>
          <w:lang w:val="id-ID"/>
        </w:rPr>
        <w:t xml:space="preserve"> Yang</w:t>
      </w:r>
      <w:r w:rsidR="003904CB">
        <w:rPr>
          <w:sz w:val="24"/>
          <w:szCs w:val="24"/>
          <w:lang w:val="id-ID"/>
        </w:rPr>
        <w:t xml:space="preserve">  membuat kami tertarik mengambil judul ini karena </w:t>
      </w:r>
      <w:r w:rsidR="007B2141">
        <w:rPr>
          <w:sz w:val="24"/>
          <w:szCs w:val="24"/>
          <w:lang w:val="id-ID"/>
        </w:rPr>
        <w:t xml:space="preserve"> hasil penelitian sebelum</w:t>
      </w:r>
      <w:r w:rsidR="003904CB">
        <w:rPr>
          <w:sz w:val="24"/>
          <w:szCs w:val="24"/>
          <w:lang w:val="id-ID"/>
        </w:rPr>
        <w:t>nya   ten</w:t>
      </w:r>
      <w:r w:rsidR="007B2141">
        <w:rPr>
          <w:sz w:val="24"/>
          <w:szCs w:val="24"/>
          <w:lang w:val="id-ID"/>
        </w:rPr>
        <w:t xml:space="preserve">ttang  karakteristik wialayah dan juga  </w:t>
      </w:r>
      <w:r w:rsidR="00AB3E08">
        <w:rPr>
          <w:sz w:val="24"/>
          <w:szCs w:val="24"/>
          <w:lang w:val="id-ID"/>
        </w:rPr>
        <w:t xml:space="preserve">Data  BPS propinsi   NTT  </w:t>
      </w:r>
      <w:r w:rsidR="003904CB">
        <w:rPr>
          <w:sz w:val="24"/>
          <w:szCs w:val="24"/>
          <w:lang w:val="id-ID"/>
        </w:rPr>
        <w:t xml:space="preserve"> bahwa Pro</w:t>
      </w:r>
      <w:r w:rsidR="00AB3E08">
        <w:rPr>
          <w:sz w:val="24"/>
          <w:szCs w:val="24"/>
          <w:lang w:val="id-ID"/>
        </w:rPr>
        <w:t>pinsi NTT  termas</w:t>
      </w:r>
      <w:r w:rsidR="004D74ED">
        <w:rPr>
          <w:sz w:val="24"/>
          <w:szCs w:val="24"/>
          <w:lang w:val="id-ID"/>
        </w:rPr>
        <w:t>uk salah satu</w:t>
      </w:r>
      <w:r w:rsidR="00AB3E08">
        <w:rPr>
          <w:sz w:val="24"/>
          <w:szCs w:val="24"/>
          <w:lang w:val="id-ID"/>
        </w:rPr>
        <w:t xml:space="preserve"> propinsi </w:t>
      </w:r>
      <w:r w:rsidR="00D50EFC">
        <w:rPr>
          <w:sz w:val="24"/>
          <w:szCs w:val="24"/>
          <w:lang w:val="id-ID"/>
        </w:rPr>
        <w:t xml:space="preserve">yang  prosentase penduduk miskinnya masih  </w:t>
      </w:r>
      <w:r w:rsidR="00D50EFC" w:rsidRPr="00D50EFC">
        <w:rPr>
          <w:sz w:val="24"/>
          <w:szCs w:val="24"/>
          <w:u w:val="single"/>
          <w:lang w:val="id-ID"/>
        </w:rPr>
        <w:t>+</w:t>
      </w:r>
      <w:r w:rsidR="00D50EFC">
        <w:rPr>
          <w:sz w:val="24"/>
          <w:szCs w:val="24"/>
          <w:lang w:val="id-ID"/>
        </w:rPr>
        <w:t xml:space="preserve"> 20 % ( BPS 2019. </w:t>
      </w:r>
      <w:r w:rsidR="00AB3E08" w:rsidRPr="009D3C6B">
        <w:rPr>
          <w:sz w:val="24"/>
          <w:szCs w:val="24"/>
          <w:lang w:val="id-ID"/>
        </w:rPr>
        <w:t xml:space="preserve"> </w:t>
      </w:r>
      <w:r w:rsidR="00B767DC" w:rsidRPr="009D3C6B">
        <w:rPr>
          <w:sz w:val="24"/>
          <w:szCs w:val="24"/>
          <w:lang w:val="id-ID"/>
        </w:rPr>
        <w:t xml:space="preserve">Penelitian ini </w:t>
      </w:r>
      <w:r w:rsidR="004D74ED">
        <w:rPr>
          <w:sz w:val="24"/>
          <w:szCs w:val="24"/>
          <w:lang w:val="id-ID"/>
        </w:rPr>
        <w:t xml:space="preserve">bernanfaat  bagi  para  pengambil </w:t>
      </w:r>
      <w:r w:rsidR="00BB479D" w:rsidRPr="009D3C6B">
        <w:rPr>
          <w:sz w:val="24"/>
          <w:szCs w:val="24"/>
          <w:lang w:val="id-ID"/>
        </w:rPr>
        <w:t xml:space="preserve"> kebijakan</w:t>
      </w:r>
      <w:r w:rsidR="00B767DC" w:rsidRPr="009D3C6B">
        <w:rPr>
          <w:sz w:val="24"/>
          <w:szCs w:val="24"/>
          <w:lang w:val="id-ID"/>
        </w:rPr>
        <w:t xml:space="preserve">  di  propinsi Nusa Tenggara Timur</w:t>
      </w:r>
      <w:r w:rsidR="00BB479D" w:rsidRPr="009D3C6B">
        <w:rPr>
          <w:sz w:val="24"/>
          <w:szCs w:val="24"/>
          <w:lang w:val="id-ID"/>
        </w:rPr>
        <w:t xml:space="preserve"> </w:t>
      </w:r>
      <w:r w:rsidR="00CB1248" w:rsidRPr="009D3C6B">
        <w:rPr>
          <w:sz w:val="24"/>
          <w:szCs w:val="24"/>
          <w:lang w:val="id-ID"/>
        </w:rPr>
        <w:t xml:space="preserve"> dalam </w:t>
      </w:r>
      <w:r w:rsidR="001655A1" w:rsidRPr="009D3C6B">
        <w:rPr>
          <w:sz w:val="24"/>
          <w:szCs w:val="24"/>
          <w:lang w:val="id-ID"/>
        </w:rPr>
        <w:t xml:space="preserve">menyusun dan </w:t>
      </w:r>
      <w:r w:rsidR="00CB1248" w:rsidRPr="009D3C6B">
        <w:rPr>
          <w:sz w:val="24"/>
          <w:szCs w:val="24"/>
          <w:lang w:val="id-ID"/>
        </w:rPr>
        <w:t>mengintevensi  program kegiatan  pembangunan</w:t>
      </w:r>
      <w:r w:rsidR="00B767DC" w:rsidRPr="009D3C6B">
        <w:rPr>
          <w:sz w:val="24"/>
          <w:szCs w:val="24"/>
          <w:lang w:val="id-ID"/>
        </w:rPr>
        <w:t xml:space="preserve"> di seluruh  Wilayah  Kabupaten  kota </w:t>
      </w:r>
      <w:r w:rsidR="00CB1248" w:rsidRPr="009D3C6B">
        <w:rPr>
          <w:sz w:val="24"/>
          <w:szCs w:val="24"/>
          <w:lang w:val="id-ID"/>
        </w:rPr>
        <w:t xml:space="preserve">  dimasa  yang akan  datang </w:t>
      </w:r>
      <w:r w:rsidR="001655A1" w:rsidRPr="009D3C6B">
        <w:rPr>
          <w:sz w:val="24"/>
          <w:szCs w:val="24"/>
          <w:lang w:val="id-ID"/>
        </w:rPr>
        <w:t>berdampak  pada peningkatan PDRB dan Pertumbuhan Ekonomi.</w:t>
      </w:r>
      <w:r w:rsidR="00B767DC" w:rsidRPr="009D3C6B">
        <w:rPr>
          <w:sz w:val="24"/>
          <w:szCs w:val="24"/>
          <w:lang w:val="id-ID"/>
        </w:rPr>
        <w:t xml:space="preserve"> Serta  kesejahteraan  Masyakat pada umumnya</w:t>
      </w:r>
    </w:p>
    <w:p w14:paraId="173F7D5B" w14:textId="77777777" w:rsidR="001D4A2C" w:rsidRPr="009D3C6B" w:rsidRDefault="001D4A2C" w:rsidP="00CB1248">
      <w:pPr>
        <w:pStyle w:val="Body"/>
        <w:spacing w:after="0" w:line="360" w:lineRule="auto"/>
        <w:ind w:firstLine="720"/>
        <w:rPr>
          <w:sz w:val="24"/>
          <w:szCs w:val="24"/>
          <w:lang w:val="id-ID"/>
        </w:rPr>
      </w:pPr>
    </w:p>
    <w:p w14:paraId="15220733" w14:textId="4982C40B" w:rsidR="00314E97" w:rsidRPr="009D3C6B" w:rsidRDefault="00314E97" w:rsidP="000A1385">
      <w:pPr>
        <w:pStyle w:val="ListParagraph"/>
        <w:numPr>
          <w:ilvl w:val="0"/>
          <w:numId w:val="14"/>
        </w:numPr>
        <w:ind w:left="567" w:hanging="567"/>
        <w:rPr>
          <w:b/>
          <w:lang w:val="id-ID"/>
        </w:rPr>
      </w:pPr>
      <w:r w:rsidRPr="009D3C6B">
        <w:rPr>
          <w:b/>
        </w:rPr>
        <w:t>METODE PENELITIAN</w:t>
      </w:r>
    </w:p>
    <w:p w14:paraId="03E61F88" w14:textId="77777777" w:rsidR="000A1385" w:rsidRPr="009D3C6B" w:rsidRDefault="000A1385" w:rsidP="000A1385">
      <w:pPr>
        <w:pStyle w:val="ListParagraph"/>
        <w:ind w:left="567"/>
        <w:rPr>
          <w:b/>
          <w:lang w:val="id-ID"/>
        </w:rPr>
      </w:pPr>
    </w:p>
    <w:p w14:paraId="3959EA6A" w14:textId="2BFA9737" w:rsidR="000A1385" w:rsidRPr="009D3C6B" w:rsidRDefault="000A1385" w:rsidP="000A1385">
      <w:pPr>
        <w:pStyle w:val="ListParagraph"/>
        <w:numPr>
          <w:ilvl w:val="0"/>
          <w:numId w:val="15"/>
        </w:numPr>
        <w:ind w:left="851" w:hanging="425"/>
        <w:rPr>
          <w:b/>
          <w:lang w:val="id-ID"/>
        </w:rPr>
      </w:pPr>
      <w:r w:rsidRPr="009D3C6B">
        <w:rPr>
          <w:b/>
          <w:lang w:val="id-ID"/>
        </w:rPr>
        <w:t xml:space="preserve"> Jenis  Penelitian </w:t>
      </w:r>
    </w:p>
    <w:p w14:paraId="40030363" w14:textId="40F2C4AC" w:rsidR="000A1385" w:rsidRPr="009D3C6B" w:rsidRDefault="00314E97" w:rsidP="000A1385">
      <w:pPr>
        <w:tabs>
          <w:tab w:val="left" w:pos="993"/>
        </w:tabs>
        <w:spacing w:before="240" w:line="360" w:lineRule="auto"/>
        <w:ind w:left="993" w:hanging="993"/>
        <w:jc w:val="both"/>
        <w:rPr>
          <w:lang w:val="id-ID"/>
        </w:rPr>
      </w:pPr>
      <w:r w:rsidRPr="009D3C6B">
        <w:rPr>
          <w:lang w:val="id-ID"/>
        </w:rPr>
        <w:tab/>
        <w:t>Penelitian ini merupakan penelitian deskripsi kuantitatif yaitu melakukan  perhitungan terhadap da</w:t>
      </w:r>
      <w:r w:rsidR="00D95941" w:rsidRPr="009D3C6B">
        <w:rPr>
          <w:lang w:val="id-ID"/>
        </w:rPr>
        <w:t>ta-data yang diperoleh untuk men</w:t>
      </w:r>
      <w:r w:rsidRPr="009D3C6B">
        <w:rPr>
          <w:lang w:val="id-ID"/>
        </w:rPr>
        <w:t>jawab permasalahan  yang  sesuai dengan  tujuan  penelitian.</w:t>
      </w:r>
      <w:r w:rsidR="000A1385" w:rsidRPr="009D3C6B">
        <w:rPr>
          <w:lang w:val="id-ID"/>
        </w:rPr>
        <w:t xml:space="preserve"> </w:t>
      </w:r>
    </w:p>
    <w:p w14:paraId="47ADBCFB" w14:textId="110479FB" w:rsidR="00314E97" w:rsidRPr="009D3C6B" w:rsidRDefault="00314E97" w:rsidP="000A1385">
      <w:pPr>
        <w:pStyle w:val="ListParagraph"/>
        <w:numPr>
          <w:ilvl w:val="0"/>
          <w:numId w:val="15"/>
        </w:numPr>
        <w:tabs>
          <w:tab w:val="left" w:pos="567"/>
          <w:tab w:val="left" w:pos="993"/>
        </w:tabs>
        <w:spacing w:before="240" w:line="360" w:lineRule="auto"/>
        <w:ind w:hanging="861"/>
        <w:jc w:val="both"/>
        <w:rPr>
          <w:lang w:val="id-ID"/>
        </w:rPr>
      </w:pPr>
      <w:r w:rsidRPr="009D3C6B">
        <w:rPr>
          <w:b/>
          <w:lang w:val="id-ID"/>
        </w:rPr>
        <w:t>Defenisi  Operasional  Variabel</w:t>
      </w:r>
    </w:p>
    <w:p w14:paraId="6F37CCD6" w14:textId="77777777" w:rsidR="00314E97" w:rsidRPr="009D3C6B" w:rsidRDefault="00314E97" w:rsidP="00314E97">
      <w:pPr>
        <w:pStyle w:val="ListParagraph"/>
        <w:tabs>
          <w:tab w:val="left" w:pos="1418"/>
        </w:tabs>
        <w:spacing w:before="240" w:line="360" w:lineRule="auto"/>
        <w:ind w:left="993" w:hanging="142"/>
        <w:jc w:val="both"/>
        <w:rPr>
          <w:lang w:val="id-ID"/>
        </w:rPr>
      </w:pPr>
      <w:r w:rsidRPr="009D3C6B">
        <w:rPr>
          <w:lang w:val="id-ID"/>
        </w:rPr>
        <w:tab/>
      </w:r>
      <w:r w:rsidRPr="009D3C6B">
        <w:rPr>
          <w:lang w:val="id-ID"/>
        </w:rPr>
        <w:tab/>
        <w:t>Defenisi    Operasional   Variabel  adalah defenisi  yang  diberikan  kepada  suatu  variabel  dengan  cara  memberikan  suatu operasional yang diperlukan  untuk mengukur  variabel tersebut  (Nazir, 1988) untuk  memudahkan  dan   menghindari kesalahan  mengartikan  maka  peneliti  memberikan  defenisi dari  masing- masing obyek yang  di  teliti  sehingga obyek  yang  diteliti   mudah  di pahami  oleh  pembaca.</w:t>
      </w:r>
    </w:p>
    <w:p w14:paraId="4ABA1DE9" w14:textId="03D4B278" w:rsidR="00314E97" w:rsidRPr="009D3C6B" w:rsidRDefault="00314E97" w:rsidP="00314E97">
      <w:pPr>
        <w:pStyle w:val="ListParagraph"/>
        <w:spacing w:before="240" w:line="360" w:lineRule="auto"/>
        <w:ind w:left="993" w:hanging="142"/>
        <w:jc w:val="both"/>
        <w:rPr>
          <w:lang w:val="id-ID"/>
        </w:rPr>
      </w:pPr>
      <w:r w:rsidRPr="009D3C6B">
        <w:rPr>
          <w:lang w:val="id-ID"/>
        </w:rPr>
        <w:t>Adapun  Obyek  variabel dan  defenisi operasional  yang  digunakan  dalam  pe</w:t>
      </w:r>
      <w:r w:rsidR="00054DFF" w:rsidRPr="009D3C6B">
        <w:rPr>
          <w:lang w:val="id-ID"/>
        </w:rPr>
        <w:t>nelitian  ini   adalah sebagai berikut :</w:t>
      </w:r>
    </w:p>
    <w:p w14:paraId="6962E5D1" w14:textId="55B10D8F" w:rsidR="00054DFF" w:rsidRPr="009D3C6B" w:rsidRDefault="001173FD" w:rsidP="00314E97">
      <w:pPr>
        <w:pStyle w:val="ListParagraph"/>
        <w:numPr>
          <w:ilvl w:val="0"/>
          <w:numId w:val="7"/>
        </w:numPr>
        <w:spacing w:before="240" w:line="360" w:lineRule="auto"/>
        <w:ind w:left="1134" w:hanging="283"/>
        <w:jc w:val="both"/>
        <w:rPr>
          <w:lang w:val="id-ID"/>
        </w:rPr>
      </w:pPr>
      <w:r w:rsidRPr="009D3C6B">
        <w:rPr>
          <w:lang w:val="id-ID"/>
        </w:rPr>
        <w:lastRenderedPageBreak/>
        <w:t>Studi</w:t>
      </w:r>
      <w:r w:rsidR="00054DFF" w:rsidRPr="009D3C6B">
        <w:rPr>
          <w:lang w:val="id-ID"/>
        </w:rPr>
        <w:t xml:space="preserve"> Komparasi  adalah  merupakan penelitian  yang bersifat membandingkan untuk  menemukan  persamaan  dan perbedaan tentang  benda, tentang orang, tentang prosedur kerja, tentang  ide, Kritik  terhadap orang, kelompok,  </w:t>
      </w:r>
      <w:r w:rsidR="00A348D9" w:rsidRPr="009D3C6B">
        <w:rPr>
          <w:lang w:val="id-ID"/>
        </w:rPr>
        <w:t>yang dilaksanakan, dengan maksud membandingkan kesamaan pandangan dan perubahan  pandangan  terhadap kasus atau peristiwa.</w:t>
      </w:r>
    </w:p>
    <w:p w14:paraId="48A2A526" w14:textId="77777777" w:rsidR="00314E97" w:rsidRPr="009D3C6B" w:rsidRDefault="00314E97" w:rsidP="00314E97">
      <w:pPr>
        <w:pStyle w:val="ListParagraph"/>
        <w:numPr>
          <w:ilvl w:val="0"/>
          <w:numId w:val="7"/>
        </w:numPr>
        <w:spacing w:before="240" w:line="360" w:lineRule="auto"/>
        <w:ind w:left="1134" w:hanging="283"/>
        <w:jc w:val="both"/>
        <w:rPr>
          <w:lang w:val="id-ID"/>
        </w:rPr>
      </w:pPr>
      <w:r w:rsidRPr="009D3C6B">
        <w:rPr>
          <w:lang w:val="id-ID"/>
        </w:rPr>
        <w:t>Ketimpangan pendapatan adalah perbedaan pendapatan antar suatu daerah dengan daerah lain yang berbeda dalam suatu  wilayah. Satuan  yang  digunakan  untuk mengukur tingkat ketimpangan  pendapatan  adalah  Indeks  Williamson yang  menggunakan  data  PDRB atas dasar harga  konstan.</w:t>
      </w:r>
    </w:p>
    <w:p w14:paraId="22A68FD4" w14:textId="77777777" w:rsidR="00314E97" w:rsidRPr="009D3C6B" w:rsidRDefault="00314E97" w:rsidP="00314E97">
      <w:pPr>
        <w:pStyle w:val="ListParagraph"/>
        <w:numPr>
          <w:ilvl w:val="0"/>
          <w:numId w:val="7"/>
        </w:numPr>
        <w:spacing w:before="240" w:line="360" w:lineRule="auto"/>
        <w:ind w:left="1134" w:hanging="283"/>
        <w:jc w:val="both"/>
        <w:rPr>
          <w:lang w:val="id-ID"/>
        </w:rPr>
      </w:pPr>
      <w:r w:rsidRPr="009D3C6B">
        <w:rPr>
          <w:lang w:val="id-ID"/>
        </w:rPr>
        <w:t xml:space="preserve">Pertumbuhan ekonomi adalah proses perubahan kondisi perekonomian suatu negara secara bersinambungan  menuju  suatu  keadaan  yang  lebih  baik pada suatu waktu tertentu. Atau dapat juga diartikan sebagai proses kenaikan  kapasitas produksi suatu perekonomian yang diwujudkan dalam bentuk  kenaikan  pendapatan  nasional. </w:t>
      </w:r>
    </w:p>
    <w:p w14:paraId="6AE87681" w14:textId="77777777" w:rsidR="00314E97" w:rsidRPr="009D3C6B" w:rsidRDefault="00314E97" w:rsidP="00314E97">
      <w:pPr>
        <w:pStyle w:val="ListParagraph"/>
        <w:numPr>
          <w:ilvl w:val="0"/>
          <w:numId w:val="7"/>
        </w:numPr>
        <w:spacing w:before="240" w:line="360" w:lineRule="auto"/>
        <w:ind w:left="1134" w:hanging="283"/>
        <w:jc w:val="both"/>
        <w:rPr>
          <w:lang w:val="id-ID"/>
        </w:rPr>
      </w:pPr>
      <w:r w:rsidRPr="009D3C6B">
        <w:rPr>
          <w:lang w:val="id-ID"/>
        </w:rPr>
        <w:t>Pendapatan perkapita merupakan perkiraan pendapatan  perorangan yang  dihasilkan  dari  PDRB pertahun dibagi dengan  jumlah  penduduk  pertahun atau dengan kata lain  pendapatan  perkapita  merupakan  hasil  bagi pendapatan regional  dengan  jumlah penduduk  pertahun.</w:t>
      </w:r>
    </w:p>
    <w:p w14:paraId="73171F6E" w14:textId="77777777" w:rsidR="00314E97" w:rsidRPr="009D3C6B" w:rsidRDefault="00314E97" w:rsidP="00314E97">
      <w:pPr>
        <w:pStyle w:val="ListParagraph"/>
        <w:numPr>
          <w:ilvl w:val="0"/>
          <w:numId w:val="7"/>
        </w:numPr>
        <w:spacing w:before="240" w:line="360" w:lineRule="auto"/>
        <w:ind w:left="1134" w:hanging="283"/>
        <w:jc w:val="both"/>
        <w:rPr>
          <w:lang w:val="id-ID"/>
        </w:rPr>
      </w:pPr>
      <w:r w:rsidRPr="009D3C6B">
        <w:rPr>
          <w:lang w:val="id-ID"/>
        </w:rPr>
        <w:t>Penduduk. Defenisi penduduk menurut BPS adalah semua orang yang berdomisili atau menetap di wilayah geografis Republik Indonesia selama 6 (enam) bulan atau lebih atau  mereka  yang  berdomisili kurang dari enam  bulan  tetapi  bertujuan  untuk  menetap atau bertempat  tinggal ( dalam satuan  jiwa).</w:t>
      </w:r>
    </w:p>
    <w:p w14:paraId="591DC6CE" w14:textId="77777777" w:rsidR="00314E97" w:rsidRPr="009D3C6B" w:rsidRDefault="00314E97" w:rsidP="00314E97">
      <w:pPr>
        <w:pStyle w:val="ListParagraph"/>
        <w:numPr>
          <w:ilvl w:val="0"/>
          <w:numId w:val="7"/>
        </w:numPr>
        <w:spacing w:before="240" w:line="360" w:lineRule="auto"/>
        <w:ind w:left="1134" w:hanging="283"/>
        <w:jc w:val="both"/>
        <w:rPr>
          <w:lang w:val="id-ID"/>
        </w:rPr>
      </w:pPr>
      <w:r w:rsidRPr="009D3C6B">
        <w:rPr>
          <w:lang w:val="id-ID"/>
        </w:rPr>
        <w:t>Disparitas atau kesenjangan  regional merupakan suatu keadaan  dimana terdapat perbedaan tingkat  pembangunan  dan pendapatan antar  daerah yang satu dengan  daerah yang lain. Kesenjangan regional  dapat  diketahui dengan  menggunakan  suatu alat  analisis yang  dinamakan  Indeks  Williamson yang  dapat  di ukur dengan  data  PDRB  atas dasar harga  konstan.</w:t>
      </w:r>
    </w:p>
    <w:p w14:paraId="1E88A151" w14:textId="77777777" w:rsidR="001D4A2C" w:rsidRPr="009D3C6B" w:rsidRDefault="001D4A2C" w:rsidP="001D4A2C">
      <w:pPr>
        <w:pStyle w:val="ListParagraph"/>
        <w:spacing w:before="240" w:line="360" w:lineRule="auto"/>
        <w:ind w:left="1134"/>
        <w:jc w:val="both"/>
        <w:rPr>
          <w:lang w:val="id-ID"/>
        </w:rPr>
      </w:pPr>
    </w:p>
    <w:p w14:paraId="6660B2D0" w14:textId="371E9846" w:rsidR="00314E97" w:rsidRPr="009D3C6B" w:rsidRDefault="000A1385" w:rsidP="00314E97">
      <w:pPr>
        <w:pStyle w:val="ListParagraph"/>
        <w:spacing w:before="240" w:line="360" w:lineRule="auto"/>
        <w:ind w:left="709" w:hanging="283"/>
        <w:jc w:val="both"/>
        <w:rPr>
          <w:b/>
        </w:rPr>
      </w:pPr>
      <w:r w:rsidRPr="009D3C6B">
        <w:rPr>
          <w:b/>
          <w:lang w:val="id-ID"/>
        </w:rPr>
        <w:t xml:space="preserve">c).  </w:t>
      </w:r>
      <w:r w:rsidR="00314E97" w:rsidRPr="009D3C6B">
        <w:rPr>
          <w:b/>
          <w:lang w:val="id-ID"/>
        </w:rPr>
        <w:t xml:space="preserve">Teknik  Pengumpulan  data </w:t>
      </w:r>
    </w:p>
    <w:p w14:paraId="26B8B792" w14:textId="2B07664A" w:rsidR="00314E97" w:rsidRPr="009D3C6B" w:rsidRDefault="00314E97" w:rsidP="00314E97">
      <w:pPr>
        <w:pStyle w:val="ListParagraph"/>
        <w:tabs>
          <w:tab w:val="left" w:pos="426"/>
        </w:tabs>
        <w:spacing w:before="240" w:line="360" w:lineRule="auto"/>
        <w:ind w:left="993" w:firstLine="425"/>
        <w:jc w:val="both"/>
        <w:rPr>
          <w:lang w:val="id-ID"/>
        </w:rPr>
      </w:pPr>
      <w:r w:rsidRPr="009D3C6B">
        <w:rPr>
          <w:lang w:val="id-ID"/>
        </w:rPr>
        <w:lastRenderedPageBreak/>
        <w:t>Metode  pengumpulan  data  yang  digunakan  dalam  penelitian  ini adalah  dokumentasi dengan menggunakan  data yang berkaitan dengan  obyek penelitian yang diperoleh  dari   badan Pusat Statistik (BPS)  maupun  litera</w:t>
      </w:r>
      <w:r w:rsidR="000A1385" w:rsidRPr="009D3C6B">
        <w:rPr>
          <w:lang w:val="id-ID"/>
        </w:rPr>
        <w:t>t</w:t>
      </w:r>
      <w:r w:rsidRPr="009D3C6B">
        <w:rPr>
          <w:lang w:val="id-ID"/>
        </w:rPr>
        <w:t xml:space="preserve">ur lain  yang sesuai  dengan  </w:t>
      </w:r>
      <w:r w:rsidR="000A1385" w:rsidRPr="009D3C6B">
        <w:rPr>
          <w:lang w:val="id-ID"/>
        </w:rPr>
        <w:t xml:space="preserve">topik </w:t>
      </w:r>
      <w:r w:rsidRPr="009D3C6B">
        <w:rPr>
          <w:lang w:val="id-ID"/>
        </w:rPr>
        <w:t>penelitian ini.</w:t>
      </w:r>
    </w:p>
    <w:p w14:paraId="176725FF" w14:textId="6DDC017C" w:rsidR="00314E97" w:rsidRPr="009D3C6B" w:rsidRDefault="000A1385" w:rsidP="00314E97">
      <w:pPr>
        <w:spacing w:before="240" w:line="360" w:lineRule="auto"/>
        <w:ind w:left="270"/>
        <w:rPr>
          <w:b/>
        </w:rPr>
      </w:pPr>
      <w:r w:rsidRPr="009D3C6B">
        <w:rPr>
          <w:b/>
          <w:lang w:val="id-ID"/>
        </w:rPr>
        <w:t xml:space="preserve">  d). </w:t>
      </w:r>
      <w:r w:rsidR="00314E97" w:rsidRPr="009D3C6B">
        <w:rPr>
          <w:b/>
          <w:lang w:val="id-ID"/>
        </w:rPr>
        <w:t xml:space="preserve"> Sumber data </w:t>
      </w:r>
    </w:p>
    <w:p w14:paraId="5E0BAFAB" w14:textId="77E1C59D" w:rsidR="000A1385" w:rsidRPr="009D3C6B" w:rsidRDefault="00314E97" w:rsidP="000A1385">
      <w:pPr>
        <w:pStyle w:val="ListParagraph"/>
        <w:tabs>
          <w:tab w:val="left" w:pos="720"/>
          <w:tab w:val="left" w:pos="1418"/>
        </w:tabs>
        <w:spacing w:line="360" w:lineRule="auto"/>
        <w:ind w:left="993"/>
        <w:jc w:val="both"/>
        <w:rPr>
          <w:lang w:val="id-ID"/>
        </w:rPr>
      </w:pPr>
      <w:r w:rsidRPr="009D3C6B">
        <w:rPr>
          <w:lang w:val="id-ID"/>
        </w:rPr>
        <w:tab/>
        <w:t>Data yang digunakan dalam penelitian ini adalah data sekunder dalam bentuk data urut waktu (</w:t>
      </w:r>
      <w:r w:rsidRPr="009D3C6B">
        <w:rPr>
          <w:i/>
          <w:iCs/>
          <w:lang w:val="id-ID"/>
        </w:rPr>
        <w:t>time series</w:t>
      </w:r>
      <w:r w:rsidRPr="009D3C6B">
        <w:rPr>
          <w:lang w:val="id-ID"/>
        </w:rPr>
        <w:t xml:space="preserve">) yang diperoleh dari adalah data Produk Domestik Regional Bruto (PDRB) </w:t>
      </w:r>
      <w:r w:rsidR="000A1385" w:rsidRPr="009D3C6B">
        <w:rPr>
          <w:lang w:val="id-ID"/>
        </w:rPr>
        <w:t xml:space="preserve">perkapita </w:t>
      </w:r>
      <w:r w:rsidRPr="009D3C6B">
        <w:rPr>
          <w:lang w:val="id-ID"/>
        </w:rPr>
        <w:t>tanpa minyak dan g</w:t>
      </w:r>
      <w:r w:rsidR="000A1385" w:rsidRPr="009D3C6B">
        <w:rPr>
          <w:lang w:val="id-ID"/>
        </w:rPr>
        <w:t>as atas harga konstan</w:t>
      </w:r>
      <w:r w:rsidR="00425EDF" w:rsidRPr="009D3C6B">
        <w:rPr>
          <w:lang w:val="id-ID"/>
        </w:rPr>
        <w:t xml:space="preserve">, data Pertumbuhan Ekonomi dan data Penduduk </w:t>
      </w:r>
      <w:r w:rsidR="000A1385" w:rsidRPr="009D3C6B">
        <w:rPr>
          <w:lang w:val="id-ID"/>
        </w:rPr>
        <w:t xml:space="preserve"> tahun 2013</w:t>
      </w:r>
      <w:r w:rsidR="00425EDF" w:rsidRPr="009D3C6B">
        <w:rPr>
          <w:lang w:val="id-ID"/>
        </w:rPr>
        <w:t>-2018.</w:t>
      </w:r>
    </w:p>
    <w:p w14:paraId="1773D1A7" w14:textId="77777777" w:rsidR="00792E48" w:rsidRPr="009D3C6B" w:rsidRDefault="00792E48" w:rsidP="000A1385">
      <w:pPr>
        <w:pStyle w:val="ListParagraph"/>
        <w:tabs>
          <w:tab w:val="left" w:pos="720"/>
          <w:tab w:val="left" w:pos="1418"/>
        </w:tabs>
        <w:spacing w:line="360" w:lineRule="auto"/>
        <w:ind w:left="993"/>
        <w:jc w:val="both"/>
        <w:rPr>
          <w:lang w:val="id-ID"/>
        </w:rPr>
      </w:pPr>
    </w:p>
    <w:p w14:paraId="2E3446B7" w14:textId="4C48EA7A" w:rsidR="00314E97" w:rsidRPr="009D3C6B" w:rsidRDefault="000A1385" w:rsidP="000A1385">
      <w:pPr>
        <w:tabs>
          <w:tab w:val="left" w:pos="720"/>
          <w:tab w:val="left" w:pos="1418"/>
        </w:tabs>
        <w:spacing w:line="360" w:lineRule="auto"/>
        <w:jc w:val="both"/>
        <w:rPr>
          <w:b/>
        </w:rPr>
      </w:pPr>
      <w:r w:rsidRPr="009D3C6B">
        <w:rPr>
          <w:b/>
          <w:lang w:val="id-ID"/>
        </w:rPr>
        <w:t xml:space="preserve">     E. </w:t>
      </w:r>
      <w:r w:rsidR="00314E97" w:rsidRPr="009D3C6B">
        <w:rPr>
          <w:b/>
          <w:lang w:val="id-ID"/>
        </w:rPr>
        <w:t xml:space="preserve">Teknik  Analisis   Data </w:t>
      </w:r>
    </w:p>
    <w:p w14:paraId="05976323" w14:textId="18FA31C1" w:rsidR="00735772" w:rsidRPr="009D3C6B" w:rsidRDefault="00314E97" w:rsidP="00F04AE0">
      <w:pPr>
        <w:pStyle w:val="NormalWeb"/>
        <w:shd w:val="clear" w:color="auto" w:fill="FFFFFF"/>
        <w:spacing w:before="0" w:beforeAutospacing="0" w:after="0" w:afterAutospacing="0" w:line="360" w:lineRule="auto"/>
        <w:ind w:left="426"/>
        <w:jc w:val="both"/>
        <w:textAlignment w:val="baseline"/>
      </w:pPr>
      <w:r w:rsidRPr="009D3C6B">
        <w:t xml:space="preserve">Analisis data yang digunakan dalam penelitian ini menggunakan pendekatan deskriptif kuantitatif. menggunakan alat analisis </w:t>
      </w:r>
      <w:r w:rsidR="00D95941" w:rsidRPr="009D3C6B">
        <w:t xml:space="preserve"> </w:t>
      </w:r>
      <w:r w:rsidR="00A11509" w:rsidRPr="009D3C6B">
        <w:t xml:space="preserve">indeks </w:t>
      </w:r>
      <w:r w:rsidR="00646BA3" w:rsidRPr="009D3C6B">
        <w:t>ketimpangan  regional  (</w:t>
      </w:r>
      <w:r w:rsidR="00646BA3" w:rsidRPr="009D3C6B">
        <w:rPr>
          <w:i/>
        </w:rPr>
        <w:t>regional in equality</w:t>
      </w:r>
      <w:r w:rsidR="00646BA3" w:rsidRPr="009D3C6B">
        <w:t xml:space="preserve">) </w:t>
      </w:r>
      <w:r w:rsidR="00A11509" w:rsidRPr="009D3C6B">
        <w:t xml:space="preserve"> </w:t>
      </w:r>
      <w:r w:rsidR="00646BA3" w:rsidRPr="009D3C6B">
        <w:t>yaitu indeks williamson dengan formulasi</w:t>
      </w:r>
      <w:r w:rsidR="00735772" w:rsidRPr="009D3C6B">
        <w:t xml:space="preserve"> menurut Syafrizal  2012 </w:t>
      </w:r>
      <w:r w:rsidR="00646BA3" w:rsidRPr="009D3C6B">
        <w:t xml:space="preserve">   sebagai berikut :</w:t>
      </w:r>
    </w:p>
    <w:p w14:paraId="02FF524F" w14:textId="77777777" w:rsidR="00917B90" w:rsidRPr="009D3C6B" w:rsidRDefault="00917B90" w:rsidP="00F04AE0">
      <w:pPr>
        <w:pStyle w:val="NormalWeb"/>
        <w:shd w:val="clear" w:color="auto" w:fill="FFFFFF"/>
        <w:spacing w:before="0" w:beforeAutospacing="0" w:after="0" w:afterAutospacing="0" w:line="360" w:lineRule="auto"/>
        <w:ind w:left="426"/>
        <w:jc w:val="both"/>
        <w:textAlignment w:val="baseline"/>
      </w:pPr>
    </w:p>
    <w:p w14:paraId="1424EA70" w14:textId="1B2C315D" w:rsidR="000D3033" w:rsidRPr="009D3C6B" w:rsidRDefault="00F04AE0" w:rsidP="0083021A">
      <w:pPr>
        <w:pStyle w:val="NormalWeb"/>
        <w:shd w:val="clear" w:color="auto" w:fill="FFFFFF"/>
        <w:spacing w:before="0" w:beforeAutospacing="0" w:after="0" w:afterAutospacing="0" w:line="360" w:lineRule="auto"/>
        <w:ind w:left="426"/>
        <w:jc w:val="both"/>
        <w:textAlignment w:val="baseline"/>
      </w:pPr>
      <w:r w:rsidRPr="009D3C6B">
        <w:t xml:space="preserve">            </w:t>
      </w:r>
      <m:oMath>
        <m:r>
          <w:rPr>
            <w:rFonts w:ascii="Cambria Math" w:hAnsi="Cambria Math"/>
          </w:rPr>
          <m:t>V</m:t>
        </m:r>
        <m:r>
          <m:rPr>
            <m:sty m:val="bi"/>
          </m:rPr>
          <w:rPr>
            <w:rFonts w:ascii="Cambria Math" w:hAnsi="Cambria Math"/>
          </w:rPr>
          <m:t>w</m:t>
        </m:r>
        <m:r>
          <m:rPr>
            <m:sty m:val="b"/>
          </m:rPr>
          <w:rPr>
            <w:rFonts w:ascii="Cambria Math" w:hAnsi="Cambria Math"/>
          </w:rPr>
          <m:t>=</m:t>
        </m:r>
        <m:f>
          <m:fPr>
            <m:ctrlPr>
              <w:rPr>
                <w:rFonts w:ascii="Cambria Math" w:hAnsi="Cambria Math"/>
                <w:b/>
              </w:rPr>
            </m:ctrlPr>
          </m:fPr>
          <m:num>
            <m:rad>
              <m:radPr>
                <m:degHide m:val="1"/>
                <m:ctrlPr>
                  <w:rPr>
                    <w:rFonts w:ascii="Cambria Math" w:hAnsi="Cambria Math"/>
                    <w:b/>
                  </w:rPr>
                </m:ctrlPr>
              </m:radPr>
              <m:deg/>
              <m:e>
                <m:nary>
                  <m:naryPr>
                    <m:chr m:val="∑"/>
                    <m:limLoc m:val="undOvr"/>
                    <m:ctrlPr>
                      <w:rPr>
                        <w:rFonts w:ascii="Cambria Math" w:hAnsi="Cambria Math"/>
                        <w:b/>
                        <w:lang w:eastAsia="en-US"/>
                      </w:rPr>
                    </m:ctrlPr>
                  </m:naryPr>
                  <m:sub>
                    <m:r>
                      <m:rPr>
                        <m:sty m:val="bi"/>
                      </m:rPr>
                      <w:rPr>
                        <w:rFonts w:ascii="Cambria Math" w:hAnsi="Cambria Math"/>
                      </w:rPr>
                      <m:t>i=1</m:t>
                    </m:r>
                  </m:sub>
                  <m:sup>
                    <m:r>
                      <m:rPr>
                        <m:sty m:val="bi"/>
                      </m:rPr>
                      <w:rPr>
                        <w:rFonts w:ascii="Cambria Math" w:hAnsi="Cambria Math"/>
                      </w:rPr>
                      <m:t>n</m:t>
                    </m:r>
                  </m:sup>
                  <m:e>
                    <m:r>
                      <m:rPr>
                        <m:sty m:val="bi"/>
                      </m:rPr>
                      <w:rPr>
                        <w:rFonts w:ascii="Cambria Math" w:hAnsi="Cambria Math"/>
                        <w:lang w:eastAsia="en-US"/>
                      </w:rPr>
                      <m:t>(</m:t>
                    </m:r>
                    <m:sSup>
                      <m:sSupPr>
                        <m:ctrlPr>
                          <w:rPr>
                            <w:rFonts w:ascii="Cambria Math" w:hAnsi="Cambria Math"/>
                            <w:b/>
                            <w:i/>
                          </w:rPr>
                        </m:ctrlPr>
                      </m:sSupPr>
                      <m:e>
                        <m:r>
                          <m:rPr>
                            <m:sty m:val="bi"/>
                          </m:rPr>
                          <w:rPr>
                            <w:rFonts w:ascii="Cambria Math" w:hAnsi="Cambria Math"/>
                          </w:rPr>
                          <m:t>yi-y)</m:t>
                        </m:r>
                      </m:e>
                      <m:sup>
                        <m:r>
                          <m:rPr>
                            <m:sty m:val="bi"/>
                          </m:rPr>
                          <w:rPr>
                            <w:rFonts w:ascii="Cambria Math" w:hAnsi="Cambria Math"/>
                          </w:rPr>
                          <m:t>2</m:t>
                        </m:r>
                      </m:sup>
                    </m:sSup>
                  </m:e>
                </m:nary>
                <m:r>
                  <m:rPr>
                    <m:sty m:val="b"/>
                  </m:rPr>
                  <w:rPr>
                    <w:rFonts w:ascii="Cambria Math" w:hAnsi="Cambria Math"/>
                  </w:rPr>
                  <m:t xml:space="preserve"> </m:t>
                </m:r>
                <m:d>
                  <m:dPr>
                    <m:ctrlPr>
                      <w:rPr>
                        <w:rFonts w:ascii="Cambria Math" w:hAnsi="Cambria Math"/>
                        <w:b/>
                        <w:lang w:eastAsia="en-US"/>
                      </w:rPr>
                    </m:ctrlPr>
                  </m:dPr>
                  <m:e>
                    <m:f>
                      <m:fPr>
                        <m:ctrlPr>
                          <w:rPr>
                            <w:rFonts w:ascii="Cambria Math" w:hAnsi="Cambria Math"/>
                            <w:b/>
                            <w:i/>
                            <w:lang w:eastAsia="en-US"/>
                          </w:rPr>
                        </m:ctrlPr>
                      </m:fPr>
                      <m:num>
                        <m:r>
                          <m:rPr>
                            <m:sty m:val="bi"/>
                          </m:rPr>
                          <w:rPr>
                            <w:rFonts w:ascii="Cambria Math" w:hAnsi="Cambria Math"/>
                          </w:rPr>
                          <m:t>fi</m:t>
                        </m:r>
                      </m:num>
                      <m:den>
                        <m:r>
                          <m:rPr>
                            <m:sty m:val="bi"/>
                          </m:rPr>
                          <w:rPr>
                            <w:rFonts w:ascii="Cambria Math" w:hAnsi="Cambria Math"/>
                          </w:rPr>
                          <m:t>n</m:t>
                        </m:r>
                      </m:den>
                    </m:f>
                  </m:e>
                </m:d>
              </m:e>
            </m:rad>
          </m:num>
          <m:den>
            <m:r>
              <m:rPr>
                <m:sty m:val="b"/>
              </m:rPr>
              <w:rPr>
                <w:rFonts w:ascii="Cambria Math" w:hAnsi="Cambria Math"/>
              </w:rPr>
              <m:t>y</m:t>
            </m:r>
          </m:den>
        </m:f>
      </m:oMath>
      <w:r w:rsidR="0083021A" w:rsidRPr="009D3C6B">
        <w:rPr>
          <w:b/>
        </w:rPr>
        <w:t xml:space="preserve">    </w:t>
      </w:r>
      <w:r w:rsidR="0083021A" w:rsidRPr="009D3C6B">
        <w:t xml:space="preserve">           0&lt;Vw&lt;1</w:t>
      </w:r>
      <w:r w:rsidR="000D3033" w:rsidRPr="009D3C6B">
        <w:tab/>
      </w:r>
      <w:r w:rsidR="000D3033" w:rsidRPr="009D3C6B">
        <w:tab/>
      </w:r>
    </w:p>
    <w:p w14:paraId="352619AA" w14:textId="77AC1905" w:rsidR="003C369F" w:rsidRPr="009D3C6B" w:rsidRDefault="0083021A" w:rsidP="0083021A">
      <w:pPr>
        <w:spacing w:before="240" w:line="360" w:lineRule="auto"/>
        <w:jc w:val="both"/>
        <w:rPr>
          <w:lang w:val="id-ID"/>
        </w:rPr>
      </w:pPr>
      <w:r w:rsidRPr="009D3C6B">
        <w:rPr>
          <w:lang w:val="id-ID"/>
        </w:rPr>
        <w:t xml:space="preserve">      </w:t>
      </w:r>
      <w:r w:rsidR="003C369F" w:rsidRPr="009D3C6B">
        <w:rPr>
          <w:lang w:val="id-ID"/>
        </w:rPr>
        <w:t>Dimana :</w:t>
      </w:r>
    </w:p>
    <w:p w14:paraId="7DB78275" w14:textId="57E80C69" w:rsidR="003C369F" w:rsidRPr="009D3C6B" w:rsidRDefault="00802554" w:rsidP="00314E97">
      <w:pPr>
        <w:pStyle w:val="ListParagraph"/>
        <w:spacing w:before="240" w:line="360" w:lineRule="auto"/>
        <w:ind w:left="993" w:firstLine="425"/>
        <w:jc w:val="both"/>
        <w:rPr>
          <w:lang w:val="id-ID"/>
        </w:rPr>
      </w:pPr>
      <w:r w:rsidRPr="009D3C6B">
        <w:rPr>
          <w:lang w:val="id-ID"/>
        </w:rPr>
        <w:t>Vw</w:t>
      </w:r>
      <w:r w:rsidR="003C369F" w:rsidRPr="009D3C6B">
        <w:rPr>
          <w:lang w:val="id-ID"/>
        </w:rPr>
        <w:t xml:space="preserve"> =  Indeks Wiliamson</w:t>
      </w:r>
    </w:p>
    <w:p w14:paraId="610B295E" w14:textId="778053E4" w:rsidR="00735772" w:rsidRPr="009D3C6B" w:rsidRDefault="00735772" w:rsidP="00314E97">
      <w:pPr>
        <w:pStyle w:val="ListParagraph"/>
        <w:spacing w:before="240" w:line="360" w:lineRule="auto"/>
        <w:ind w:left="993" w:firstLine="425"/>
        <w:jc w:val="both"/>
        <w:rPr>
          <w:lang w:val="id-ID"/>
        </w:rPr>
      </w:pPr>
      <w:r w:rsidRPr="009D3C6B">
        <w:rPr>
          <w:lang w:val="id-ID"/>
        </w:rPr>
        <w:t>Yi  =   PDRB perkapita  daerah  i</w:t>
      </w:r>
    </w:p>
    <w:p w14:paraId="043ED285" w14:textId="2F0C8028" w:rsidR="00735772" w:rsidRPr="009D3C6B" w:rsidRDefault="00735772" w:rsidP="00314E97">
      <w:pPr>
        <w:pStyle w:val="ListParagraph"/>
        <w:spacing w:before="240" w:line="360" w:lineRule="auto"/>
        <w:ind w:left="993" w:firstLine="425"/>
        <w:jc w:val="both"/>
        <w:rPr>
          <w:lang w:val="id-ID"/>
        </w:rPr>
      </w:pPr>
      <w:r w:rsidRPr="009D3C6B">
        <w:rPr>
          <w:lang w:val="id-ID"/>
        </w:rPr>
        <w:t xml:space="preserve">Y   =  PRRB  rata-rata  seluruh  daerah </w:t>
      </w:r>
    </w:p>
    <w:p w14:paraId="08C79FDC" w14:textId="5F9F5F5B" w:rsidR="00735772" w:rsidRPr="009D3C6B" w:rsidRDefault="00735772" w:rsidP="00314E97">
      <w:pPr>
        <w:pStyle w:val="ListParagraph"/>
        <w:spacing w:before="240" w:line="360" w:lineRule="auto"/>
        <w:ind w:left="993" w:firstLine="425"/>
        <w:jc w:val="both"/>
        <w:rPr>
          <w:lang w:val="id-ID"/>
        </w:rPr>
      </w:pPr>
      <w:r w:rsidRPr="009D3C6B">
        <w:rPr>
          <w:lang w:val="id-ID"/>
        </w:rPr>
        <w:t>Fi   =  jumlah  penduduk  daerah  i</w:t>
      </w:r>
    </w:p>
    <w:p w14:paraId="09B55809" w14:textId="20B21519" w:rsidR="00314E97" w:rsidRPr="009D3C6B" w:rsidRDefault="00735772" w:rsidP="0076419F">
      <w:pPr>
        <w:pStyle w:val="ListParagraph"/>
        <w:spacing w:before="240" w:line="360" w:lineRule="auto"/>
        <w:ind w:left="993" w:firstLine="425"/>
        <w:jc w:val="both"/>
        <w:rPr>
          <w:lang w:val="id-ID"/>
        </w:rPr>
      </w:pPr>
      <w:r w:rsidRPr="009D3C6B">
        <w:rPr>
          <w:lang w:val="id-ID"/>
        </w:rPr>
        <w:t>n     =  jumlah  penduduk  seluruh  daerah</w:t>
      </w:r>
    </w:p>
    <w:p w14:paraId="695AA9A7" w14:textId="2B670B0D" w:rsidR="00D95941" w:rsidRPr="009D3C6B" w:rsidRDefault="000155C4" w:rsidP="00D95941">
      <w:pPr>
        <w:spacing w:before="240" w:line="360" w:lineRule="auto"/>
        <w:jc w:val="both"/>
        <w:rPr>
          <w:lang w:val="id-ID"/>
        </w:rPr>
      </w:pPr>
      <w:r w:rsidRPr="009D3C6B">
        <w:rPr>
          <w:lang w:val="id-ID"/>
        </w:rPr>
        <w:t xml:space="preserve">  Sedang  Rumusan </w:t>
      </w:r>
      <w:r w:rsidR="00425EDF" w:rsidRPr="009D3C6B">
        <w:rPr>
          <w:lang w:val="id-ID"/>
        </w:rPr>
        <w:t>atau Formulasi</w:t>
      </w:r>
      <w:r w:rsidRPr="009D3C6B">
        <w:rPr>
          <w:lang w:val="id-ID"/>
        </w:rPr>
        <w:t xml:space="preserve">  Indeks  Tropi  Theil   yang   digunakan  dalam  penelitian  ini   adalah  Sebagai  berikut  :</w:t>
      </w:r>
    </w:p>
    <w:p w14:paraId="5B5A4C9A" w14:textId="7F3D916C" w:rsidR="00122656" w:rsidRPr="009D3C6B" w:rsidRDefault="00122656" w:rsidP="00122656">
      <w:pPr>
        <w:spacing w:before="240" w:line="360" w:lineRule="auto"/>
        <w:jc w:val="center"/>
        <w:rPr>
          <w:lang w:val="id-ID"/>
        </w:rPr>
      </w:pPr>
      <w:r w:rsidRPr="009D3C6B">
        <w:rPr>
          <w:lang w:val="id-ID"/>
        </w:rPr>
        <w:t>I =</w:t>
      </w:r>
      <m:oMath>
        <m:nary>
          <m:naryPr>
            <m:chr m:val="∑"/>
            <m:limLoc m:val="undOvr"/>
            <m:subHide m:val="1"/>
            <m:supHide m:val="1"/>
            <m:ctrlPr>
              <w:rPr>
                <w:rFonts w:ascii="Cambria Math" w:hAnsi="Cambria Math"/>
                <w:i/>
                <w:lang w:val="id-ID"/>
              </w:rPr>
            </m:ctrlPr>
          </m:naryPr>
          <m:sub/>
          <m:sup/>
          <m:e>
            <m:r>
              <w:rPr>
                <w:rFonts w:ascii="Cambria Math" w:hAnsi="Cambria Math"/>
                <w:lang w:val="id-ID"/>
              </w:rPr>
              <m:t>(</m:t>
            </m:r>
            <m:f>
              <m:fPr>
                <m:ctrlPr>
                  <w:rPr>
                    <w:rFonts w:ascii="Cambria Math" w:hAnsi="Cambria Math"/>
                    <w:i/>
                    <w:lang w:val="id-ID"/>
                  </w:rPr>
                </m:ctrlPr>
              </m:fPr>
              <m:num>
                <m:r>
                  <w:rPr>
                    <w:rFonts w:ascii="Cambria Math" w:hAnsi="Cambria Math"/>
                    <w:lang w:val="id-ID"/>
                  </w:rPr>
                  <m:t>yj</m:t>
                </m:r>
              </m:num>
              <m:den>
                <m:r>
                  <w:rPr>
                    <w:rFonts w:ascii="Cambria Math" w:hAnsi="Cambria Math"/>
                    <w:lang w:val="id-ID"/>
                  </w:rPr>
                  <m:t>Y</m:t>
                </m:r>
              </m:den>
            </m:f>
          </m:e>
        </m:nary>
        <m:r>
          <w:rPr>
            <w:rFonts w:ascii="Cambria Math" w:hAnsi="Cambria Math"/>
            <w:lang w:val="id-ID"/>
          </w:rPr>
          <m:t>) x</m:t>
        </m:r>
        <m:func>
          <m:funcPr>
            <m:ctrlPr>
              <w:rPr>
                <w:rFonts w:ascii="Cambria Math" w:hAnsi="Cambria Math"/>
                <w:i/>
                <w:lang w:val="id-ID"/>
              </w:rPr>
            </m:ctrlPr>
          </m:funcPr>
          <m:fName>
            <m:r>
              <m:rPr>
                <m:sty m:val="p"/>
              </m:rPr>
              <w:rPr>
                <w:rFonts w:ascii="Cambria Math" w:hAnsi="Cambria Math"/>
                <w:lang w:val="id-ID"/>
              </w:rPr>
              <m:t>log</m:t>
            </m:r>
          </m:fName>
          <m:e>
            <m:r>
              <w:rPr>
                <w:rFonts w:ascii="Cambria Math" w:hAnsi="Cambria Math"/>
                <w:lang w:val="id-ID"/>
              </w:rPr>
              <m:t>(</m:t>
            </m:r>
          </m:e>
        </m:func>
        <m:f>
          <m:fPr>
            <m:ctrlPr>
              <w:rPr>
                <w:rFonts w:ascii="Cambria Math" w:hAnsi="Cambria Math"/>
                <w:i/>
                <w:lang w:val="id-ID"/>
              </w:rPr>
            </m:ctrlPr>
          </m:fPr>
          <m:num>
            <m:r>
              <w:rPr>
                <w:rFonts w:ascii="Cambria Math" w:hAnsi="Cambria Math"/>
                <w:lang w:val="id-ID"/>
              </w:rPr>
              <m:t>yj</m:t>
            </m:r>
          </m:num>
          <m:den>
            <m:r>
              <w:rPr>
                <w:rFonts w:ascii="Cambria Math" w:hAnsi="Cambria Math"/>
                <w:lang w:val="id-ID"/>
              </w:rPr>
              <m:t>Y</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xj</m:t>
            </m:r>
          </m:num>
          <m:den>
            <m:r>
              <w:rPr>
                <w:rFonts w:ascii="Cambria Math" w:hAnsi="Cambria Math"/>
                <w:lang w:val="id-ID"/>
              </w:rPr>
              <m:t>X</m:t>
            </m:r>
          </m:den>
        </m:f>
        <m:r>
          <w:rPr>
            <w:rFonts w:ascii="Cambria Math" w:hAnsi="Cambria Math"/>
            <w:lang w:val="id-ID"/>
          </w:rPr>
          <m:t>)</m:t>
        </m:r>
      </m:oMath>
    </w:p>
    <w:p w14:paraId="3BFCED69" w14:textId="7913BE50" w:rsidR="000918EF" w:rsidRPr="009D3C6B" w:rsidRDefault="000918EF" w:rsidP="00510710">
      <w:pPr>
        <w:spacing w:line="360" w:lineRule="auto"/>
        <w:rPr>
          <w:lang w:val="id-ID"/>
        </w:rPr>
      </w:pPr>
      <w:r w:rsidRPr="009D3C6B">
        <w:rPr>
          <w:lang w:val="id-ID"/>
        </w:rPr>
        <w:t>Dimana :</w:t>
      </w:r>
    </w:p>
    <w:p w14:paraId="25EC660D" w14:textId="0A85873C" w:rsidR="000918EF" w:rsidRPr="009D3C6B" w:rsidRDefault="000918EF" w:rsidP="00510710">
      <w:pPr>
        <w:spacing w:line="360" w:lineRule="auto"/>
        <w:rPr>
          <w:lang w:val="id-ID"/>
        </w:rPr>
      </w:pPr>
      <w:r w:rsidRPr="009D3C6B">
        <w:rPr>
          <w:lang w:val="id-ID"/>
        </w:rPr>
        <w:t xml:space="preserve"> I =  Indeks  Entropi Theil</w:t>
      </w:r>
    </w:p>
    <w:p w14:paraId="0578E8BE" w14:textId="73251AC1" w:rsidR="000918EF" w:rsidRPr="009D3C6B" w:rsidRDefault="000918EF" w:rsidP="00510710">
      <w:pPr>
        <w:spacing w:line="360" w:lineRule="auto"/>
        <w:rPr>
          <w:lang w:val="id-ID"/>
        </w:rPr>
      </w:pPr>
      <w:r w:rsidRPr="009D3C6B">
        <w:rPr>
          <w:lang w:val="id-ID"/>
        </w:rPr>
        <w:lastRenderedPageBreak/>
        <w:t>yj   = PDRB  Perkapita  Kabupaten j /PDRB  Perkapita Proppinsi NTT</w:t>
      </w:r>
    </w:p>
    <w:p w14:paraId="78E7E772" w14:textId="4651DD58" w:rsidR="00B45768" w:rsidRPr="009D3C6B" w:rsidRDefault="00B45768" w:rsidP="00510710">
      <w:pPr>
        <w:spacing w:line="360" w:lineRule="auto"/>
        <w:rPr>
          <w:lang w:val="id-ID"/>
        </w:rPr>
      </w:pPr>
      <w:r w:rsidRPr="009D3C6B">
        <w:rPr>
          <w:lang w:val="id-ID"/>
        </w:rPr>
        <w:t>xj   = Jumlah Penduduk  Kabupaten j /Jumlah  Penduduk  Propinsi NTT</w:t>
      </w:r>
    </w:p>
    <w:p w14:paraId="0CC8B45C" w14:textId="65F75A7B" w:rsidR="00B45768" w:rsidRPr="009D3C6B" w:rsidRDefault="00B45768" w:rsidP="00510710">
      <w:pPr>
        <w:spacing w:line="360" w:lineRule="auto"/>
        <w:rPr>
          <w:lang w:val="id-ID"/>
        </w:rPr>
      </w:pPr>
      <w:r w:rsidRPr="009D3C6B">
        <w:rPr>
          <w:lang w:val="id-ID"/>
        </w:rPr>
        <w:t>Y  = PDRB Kabupaten</w:t>
      </w:r>
    </w:p>
    <w:p w14:paraId="0ABBE971" w14:textId="4DA5502F" w:rsidR="00B45768" w:rsidRPr="009D3C6B" w:rsidRDefault="00B45768" w:rsidP="00510710">
      <w:pPr>
        <w:spacing w:line="360" w:lineRule="auto"/>
        <w:rPr>
          <w:lang w:val="id-ID"/>
        </w:rPr>
      </w:pPr>
      <w:r w:rsidRPr="009D3C6B">
        <w:rPr>
          <w:lang w:val="id-ID"/>
        </w:rPr>
        <w:t>X  = Jumlah  Pebduduk  Kabupaten</w:t>
      </w:r>
    </w:p>
    <w:p w14:paraId="202DB1EB" w14:textId="77777777" w:rsidR="000918EF" w:rsidRPr="009D3C6B" w:rsidRDefault="000918EF" w:rsidP="000918EF">
      <w:pPr>
        <w:rPr>
          <w:lang w:val="id-ID"/>
        </w:rPr>
      </w:pPr>
    </w:p>
    <w:p w14:paraId="159FA99F" w14:textId="4EB6AFB3" w:rsidR="009644C5" w:rsidRPr="009D3C6B" w:rsidRDefault="00B31458" w:rsidP="00B31458">
      <w:pPr>
        <w:pStyle w:val="Heading1"/>
        <w:numPr>
          <w:ilvl w:val="0"/>
          <w:numId w:val="14"/>
        </w:numPr>
        <w:spacing w:before="0" w:after="0" w:line="360" w:lineRule="auto"/>
        <w:ind w:left="426" w:hanging="426"/>
        <w:rPr>
          <w:sz w:val="24"/>
          <w:szCs w:val="24"/>
          <w:lang w:val="id-ID"/>
        </w:rPr>
      </w:pPr>
      <w:r w:rsidRPr="009D3C6B">
        <w:rPr>
          <w:sz w:val="24"/>
          <w:szCs w:val="24"/>
          <w:lang w:val="id-ID"/>
        </w:rPr>
        <w:t>PENELITIAN</w:t>
      </w:r>
    </w:p>
    <w:p w14:paraId="5A0F7575" w14:textId="73DE7996" w:rsidR="00314E97" w:rsidRPr="009D3C6B" w:rsidRDefault="00314E97" w:rsidP="00B31458">
      <w:pPr>
        <w:pStyle w:val="NoSpacing"/>
        <w:numPr>
          <w:ilvl w:val="0"/>
          <w:numId w:val="16"/>
        </w:numPr>
        <w:spacing w:line="360" w:lineRule="auto"/>
        <w:ind w:left="709" w:hanging="283"/>
        <w:jc w:val="both"/>
        <w:rPr>
          <w:rFonts w:ascii="Times New Roman" w:hAnsi="Times New Roman" w:cs="Times New Roman"/>
          <w:b/>
          <w:color w:val="000000"/>
          <w:sz w:val="24"/>
          <w:szCs w:val="24"/>
          <w:lang w:val="de-DE"/>
        </w:rPr>
      </w:pPr>
      <w:r w:rsidRPr="009D3C6B">
        <w:rPr>
          <w:rFonts w:ascii="Times New Roman" w:hAnsi="Times New Roman" w:cs="Times New Roman"/>
          <w:b/>
          <w:color w:val="000000"/>
          <w:sz w:val="24"/>
          <w:szCs w:val="24"/>
          <w:lang w:val="id-ID"/>
        </w:rPr>
        <w:t>Gambaran Umum kondisi Perekonomian Provinsi Nusa Tenggara Timur  periode  2013 -2018.</w:t>
      </w:r>
    </w:p>
    <w:p w14:paraId="1E19EF56" w14:textId="6D7837AE" w:rsidR="00314E97" w:rsidRPr="009D3C6B" w:rsidRDefault="00314E97" w:rsidP="00B31458">
      <w:pPr>
        <w:pStyle w:val="NoSpacing"/>
        <w:numPr>
          <w:ilvl w:val="0"/>
          <w:numId w:val="17"/>
        </w:numPr>
        <w:spacing w:line="360" w:lineRule="auto"/>
        <w:ind w:left="1134" w:hanging="425"/>
        <w:jc w:val="both"/>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t xml:space="preserve">Struktur Ekonomi  dan  Perkembangan  PDRB Provinsi   NTT </w:t>
      </w:r>
    </w:p>
    <w:p w14:paraId="63FF6F69" w14:textId="635AA7D0" w:rsidR="00314E97" w:rsidRPr="009D3C6B" w:rsidRDefault="00B80CC0" w:rsidP="00B80CC0">
      <w:pPr>
        <w:pStyle w:val="NoSpacing"/>
        <w:spacing w:line="360" w:lineRule="auto"/>
        <w:ind w:left="993"/>
        <w:jc w:val="both"/>
        <w:rPr>
          <w:rFonts w:ascii="Times New Roman" w:hAnsi="Times New Roman" w:cs="Times New Roman"/>
          <w:color w:val="000000"/>
          <w:sz w:val="24"/>
          <w:szCs w:val="24"/>
          <w:lang w:val="id-ID"/>
        </w:rPr>
      </w:pPr>
      <w:r w:rsidRPr="009D3C6B">
        <w:rPr>
          <w:rFonts w:ascii="Times New Roman" w:hAnsi="Times New Roman" w:cs="Times New Roman"/>
          <w:b/>
          <w:color w:val="000000"/>
          <w:sz w:val="24"/>
          <w:szCs w:val="24"/>
          <w:lang w:val="id-ID"/>
        </w:rPr>
        <w:tab/>
      </w:r>
      <w:r w:rsidR="00314E97" w:rsidRPr="009D3C6B">
        <w:rPr>
          <w:rFonts w:ascii="Times New Roman" w:hAnsi="Times New Roman" w:cs="Times New Roman"/>
          <w:color w:val="000000"/>
          <w:sz w:val="24"/>
          <w:szCs w:val="24"/>
          <w:lang w:val="id-ID"/>
        </w:rPr>
        <w:t xml:space="preserve">Suatu perekonomian dinyatakan berkembang jika pendapatan perkapitanya  menunjukan atau cenderung meningkat (Arsyad, 1999). Produk Domestik Bruto (PDRB) bertujuan untuk mengukur besarnya output  barang dan jasa  yang dihasilkan oleh suatu daerah pada periode tertentu. Adapun sektor-sektor ekonomi pemicu  PDRB di  propinsi Nusa tenggara Timur merujuk pada data statistik tahun 2018 adalah sebagai  berikut  : </w:t>
      </w:r>
    </w:p>
    <w:tbl>
      <w:tblPr>
        <w:tblW w:w="6852" w:type="dxa"/>
        <w:tblInd w:w="1101" w:type="dxa"/>
        <w:tblLook w:val="04A0" w:firstRow="1" w:lastRow="0" w:firstColumn="1" w:lastColumn="0" w:noHBand="0" w:noVBand="1"/>
      </w:tblPr>
      <w:tblGrid>
        <w:gridCol w:w="1139"/>
        <w:gridCol w:w="6120"/>
      </w:tblGrid>
      <w:tr w:rsidR="00314E97" w:rsidRPr="009D3C6B" w14:paraId="1211DB9B" w14:textId="77777777" w:rsidTr="00B80CC0">
        <w:trPr>
          <w:trHeight w:val="300"/>
        </w:trPr>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FFB0" w14:textId="77777777" w:rsidR="00314E97" w:rsidRPr="009D3C6B" w:rsidRDefault="00314E97" w:rsidP="00477F24">
            <w:pPr>
              <w:ind w:left="709"/>
              <w:jc w:val="center"/>
              <w:rPr>
                <w:color w:val="000000"/>
                <w:lang w:val="id-ID" w:eastAsia="id-ID"/>
              </w:rPr>
            </w:pPr>
            <w:r w:rsidRPr="009D3C6B">
              <w:rPr>
                <w:color w:val="000000"/>
                <w:lang w:val="id-ID" w:eastAsia="id-ID"/>
              </w:rPr>
              <w:t>A</w:t>
            </w:r>
          </w:p>
        </w:tc>
        <w:tc>
          <w:tcPr>
            <w:tcW w:w="6120" w:type="dxa"/>
            <w:tcBorders>
              <w:top w:val="single" w:sz="4" w:space="0" w:color="auto"/>
              <w:left w:val="nil"/>
              <w:bottom w:val="single" w:sz="4" w:space="0" w:color="auto"/>
              <w:right w:val="single" w:sz="4" w:space="0" w:color="auto"/>
            </w:tcBorders>
            <w:shd w:val="clear" w:color="auto" w:fill="auto"/>
            <w:noWrap/>
            <w:vAlign w:val="bottom"/>
            <w:hideMark/>
          </w:tcPr>
          <w:p w14:paraId="1F9AD609" w14:textId="77777777" w:rsidR="00314E97" w:rsidRPr="009D3C6B" w:rsidRDefault="00314E97" w:rsidP="00477F24">
            <w:pPr>
              <w:ind w:left="709"/>
              <w:rPr>
                <w:color w:val="000000"/>
                <w:lang w:val="id-ID" w:eastAsia="id-ID"/>
              </w:rPr>
            </w:pPr>
            <w:r w:rsidRPr="009D3C6B">
              <w:rPr>
                <w:color w:val="000000"/>
                <w:lang w:val="id-ID" w:eastAsia="id-ID"/>
              </w:rPr>
              <w:t>Pertanian, Kehutanan, dan Perikanan</w:t>
            </w:r>
          </w:p>
        </w:tc>
      </w:tr>
      <w:tr w:rsidR="00314E97" w:rsidRPr="009D3C6B" w14:paraId="0C6AE6F5"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522295F6" w14:textId="77777777" w:rsidR="00314E97" w:rsidRPr="009D3C6B" w:rsidRDefault="00314E97" w:rsidP="00477F24">
            <w:pPr>
              <w:ind w:left="709"/>
              <w:jc w:val="center"/>
              <w:rPr>
                <w:color w:val="000000"/>
                <w:lang w:val="id-ID" w:eastAsia="id-ID"/>
              </w:rPr>
            </w:pPr>
            <w:r w:rsidRPr="009D3C6B">
              <w:rPr>
                <w:color w:val="000000"/>
                <w:lang w:val="id-ID" w:eastAsia="id-ID"/>
              </w:rPr>
              <w:t>B</w:t>
            </w:r>
          </w:p>
        </w:tc>
        <w:tc>
          <w:tcPr>
            <w:tcW w:w="6120" w:type="dxa"/>
            <w:tcBorders>
              <w:top w:val="nil"/>
              <w:left w:val="nil"/>
              <w:bottom w:val="single" w:sz="4" w:space="0" w:color="auto"/>
              <w:right w:val="single" w:sz="4" w:space="0" w:color="auto"/>
            </w:tcBorders>
            <w:shd w:val="clear" w:color="auto" w:fill="auto"/>
            <w:noWrap/>
            <w:vAlign w:val="bottom"/>
            <w:hideMark/>
          </w:tcPr>
          <w:p w14:paraId="13DFD13E" w14:textId="77777777" w:rsidR="00314E97" w:rsidRPr="009D3C6B" w:rsidRDefault="00314E97" w:rsidP="00477F24">
            <w:pPr>
              <w:ind w:left="709"/>
              <w:rPr>
                <w:color w:val="000000"/>
                <w:lang w:val="id-ID" w:eastAsia="id-ID"/>
              </w:rPr>
            </w:pPr>
            <w:r w:rsidRPr="009D3C6B">
              <w:rPr>
                <w:color w:val="000000"/>
                <w:lang w:val="id-ID" w:eastAsia="id-ID"/>
              </w:rPr>
              <w:t>Pertambangan dan Penggalian</w:t>
            </w:r>
          </w:p>
        </w:tc>
      </w:tr>
      <w:tr w:rsidR="00314E97" w:rsidRPr="009D3C6B" w14:paraId="1AC2E7BA"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7C2AF7A7" w14:textId="77777777" w:rsidR="00314E97" w:rsidRPr="009D3C6B" w:rsidRDefault="00314E97" w:rsidP="00477F24">
            <w:pPr>
              <w:ind w:left="709"/>
              <w:jc w:val="center"/>
              <w:rPr>
                <w:color w:val="000000"/>
                <w:lang w:val="id-ID" w:eastAsia="id-ID"/>
              </w:rPr>
            </w:pPr>
            <w:r w:rsidRPr="009D3C6B">
              <w:rPr>
                <w:color w:val="000000"/>
                <w:lang w:val="id-ID" w:eastAsia="id-ID"/>
              </w:rPr>
              <w:t>C</w:t>
            </w:r>
          </w:p>
        </w:tc>
        <w:tc>
          <w:tcPr>
            <w:tcW w:w="6120" w:type="dxa"/>
            <w:tcBorders>
              <w:top w:val="nil"/>
              <w:left w:val="nil"/>
              <w:bottom w:val="single" w:sz="4" w:space="0" w:color="auto"/>
              <w:right w:val="single" w:sz="4" w:space="0" w:color="auto"/>
            </w:tcBorders>
            <w:shd w:val="clear" w:color="auto" w:fill="auto"/>
            <w:noWrap/>
            <w:vAlign w:val="bottom"/>
            <w:hideMark/>
          </w:tcPr>
          <w:p w14:paraId="176BB9C8" w14:textId="77777777" w:rsidR="00314E97" w:rsidRPr="009D3C6B" w:rsidRDefault="00314E97" w:rsidP="00477F24">
            <w:pPr>
              <w:ind w:left="709"/>
              <w:rPr>
                <w:color w:val="000000"/>
                <w:lang w:val="id-ID" w:eastAsia="id-ID"/>
              </w:rPr>
            </w:pPr>
            <w:r w:rsidRPr="009D3C6B">
              <w:rPr>
                <w:color w:val="000000"/>
                <w:lang w:val="id-ID" w:eastAsia="id-ID"/>
              </w:rPr>
              <w:t>Industri Pengolahan</w:t>
            </w:r>
          </w:p>
        </w:tc>
      </w:tr>
      <w:tr w:rsidR="00314E97" w:rsidRPr="009D3C6B" w14:paraId="651FC31B"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2409BA5" w14:textId="77777777" w:rsidR="00314E97" w:rsidRPr="009D3C6B" w:rsidRDefault="00314E97" w:rsidP="00477F24">
            <w:pPr>
              <w:ind w:left="709"/>
              <w:jc w:val="center"/>
              <w:rPr>
                <w:color w:val="000000"/>
                <w:lang w:val="id-ID" w:eastAsia="id-ID"/>
              </w:rPr>
            </w:pPr>
            <w:r w:rsidRPr="009D3C6B">
              <w:rPr>
                <w:color w:val="000000"/>
                <w:lang w:val="id-ID" w:eastAsia="id-ID"/>
              </w:rPr>
              <w:t>D</w:t>
            </w:r>
          </w:p>
        </w:tc>
        <w:tc>
          <w:tcPr>
            <w:tcW w:w="6120" w:type="dxa"/>
            <w:tcBorders>
              <w:top w:val="nil"/>
              <w:left w:val="nil"/>
              <w:bottom w:val="single" w:sz="4" w:space="0" w:color="auto"/>
              <w:right w:val="single" w:sz="4" w:space="0" w:color="auto"/>
            </w:tcBorders>
            <w:shd w:val="clear" w:color="auto" w:fill="auto"/>
            <w:noWrap/>
            <w:vAlign w:val="bottom"/>
            <w:hideMark/>
          </w:tcPr>
          <w:p w14:paraId="439FD0F3" w14:textId="77777777" w:rsidR="00314E97" w:rsidRPr="009D3C6B" w:rsidRDefault="00314E97" w:rsidP="00477F24">
            <w:pPr>
              <w:ind w:left="709"/>
              <w:rPr>
                <w:color w:val="000000"/>
                <w:lang w:val="id-ID" w:eastAsia="id-ID"/>
              </w:rPr>
            </w:pPr>
            <w:r w:rsidRPr="009D3C6B">
              <w:rPr>
                <w:color w:val="000000"/>
                <w:lang w:val="id-ID" w:eastAsia="id-ID"/>
              </w:rPr>
              <w:t>Pengadaan Listrik dan Gas</w:t>
            </w:r>
          </w:p>
        </w:tc>
      </w:tr>
      <w:tr w:rsidR="00314E97" w:rsidRPr="009D3C6B" w14:paraId="7D92B228"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0E8CD1EE" w14:textId="77777777" w:rsidR="00314E97" w:rsidRPr="009D3C6B" w:rsidRDefault="00314E97" w:rsidP="00477F24">
            <w:pPr>
              <w:ind w:left="709"/>
              <w:jc w:val="center"/>
              <w:rPr>
                <w:color w:val="000000"/>
                <w:lang w:val="id-ID" w:eastAsia="id-ID"/>
              </w:rPr>
            </w:pPr>
            <w:r w:rsidRPr="009D3C6B">
              <w:rPr>
                <w:color w:val="000000"/>
                <w:lang w:val="id-ID" w:eastAsia="id-ID"/>
              </w:rPr>
              <w:t>E</w:t>
            </w:r>
          </w:p>
        </w:tc>
        <w:tc>
          <w:tcPr>
            <w:tcW w:w="6120" w:type="dxa"/>
            <w:tcBorders>
              <w:top w:val="nil"/>
              <w:left w:val="nil"/>
              <w:bottom w:val="single" w:sz="4" w:space="0" w:color="auto"/>
              <w:right w:val="single" w:sz="4" w:space="0" w:color="auto"/>
            </w:tcBorders>
            <w:shd w:val="clear" w:color="auto" w:fill="auto"/>
            <w:noWrap/>
            <w:vAlign w:val="bottom"/>
            <w:hideMark/>
          </w:tcPr>
          <w:p w14:paraId="4B5E593F" w14:textId="77777777" w:rsidR="00314E97" w:rsidRPr="009D3C6B" w:rsidRDefault="00314E97" w:rsidP="00477F24">
            <w:pPr>
              <w:ind w:left="709"/>
              <w:rPr>
                <w:color w:val="000000"/>
                <w:lang w:val="id-ID" w:eastAsia="id-ID"/>
              </w:rPr>
            </w:pPr>
            <w:r w:rsidRPr="009D3C6B">
              <w:rPr>
                <w:color w:val="000000"/>
                <w:lang w:val="id-ID" w:eastAsia="id-ID"/>
              </w:rPr>
              <w:t>Pengadaan Air, Pengelolaan Sampah, Limbah dan Daur Ulang</w:t>
            </w:r>
          </w:p>
        </w:tc>
      </w:tr>
      <w:tr w:rsidR="00314E97" w:rsidRPr="009D3C6B" w14:paraId="6076BC30"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7FC9946D" w14:textId="77777777" w:rsidR="00314E97" w:rsidRPr="009D3C6B" w:rsidRDefault="00314E97" w:rsidP="00477F24">
            <w:pPr>
              <w:ind w:left="709"/>
              <w:jc w:val="center"/>
              <w:rPr>
                <w:color w:val="000000"/>
                <w:lang w:val="id-ID" w:eastAsia="id-ID"/>
              </w:rPr>
            </w:pPr>
            <w:r w:rsidRPr="009D3C6B">
              <w:rPr>
                <w:color w:val="000000"/>
                <w:lang w:val="id-ID" w:eastAsia="id-ID"/>
              </w:rPr>
              <w:t>F</w:t>
            </w:r>
          </w:p>
        </w:tc>
        <w:tc>
          <w:tcPr>
            <w:tcW w:w="6120" w:type="dxa"/>
            <w:tcBorders>
              <w:top w:val="nil"/>
              <w:left w:val="nil"/>
              <w:bottom w:val="single" w:sz="4" w:space="0" w:color="auto"/>
              <w:right w:val="single" w:sz="4" w:space="0" w:color="auto"/>
            </w:tcBorders>
            <w:shd w:val="clear" w:color="auto" w:fill="auto"/>
            <w:noWrap/>
            <w:vAlign w:val="bottom"/>
            <w:hideMark/>
          </w:tcPr>
          <w:p w14:paraId="73500903" w14:textId="77777777" w:rsidR="00314E97" w:rsidRPr="009D3C6B" w:rsidRDefault="00314E97" w:rsidP="00477F24">
            <w:pPr>
              <w:ind w:left="709"/>
              <w:rPr>
                <w:color w:val="000000"/>
                <w:lang w:val="id-ID" w:eastAsia="id-ID"/>
              </w:rPr>
            </w:pPr>
            <w:r w:rsidRPr="009D3C6B">
              <w:rPr>
                <w:color w:val="000000"/>
                <w:lang w:val="id-ID" w:eastAsia="id-ID"/>
              </w:rPr>
              <w:t>Konstruksi</w:t>
            </w:r>
          </w:p>
        </w:tc>
      </w:tr>
      <w:tr w:rsidR="00314E97" w:rsidRPr="009D3C6B" w14:paraId="7C11217F"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61E6045" w14:textId="77777777" w:rsidR="00314E97" w:rsidRPr="009D3C6B" w:rsidRDefault="00314E97" w:rsidP="00477F24">
            <w:pPr>
              <w:ind w:left="709"/>
              <w:jc w:val="center"/>
              <w:rPr>
                <w:color w:val="000000"/>
                <w:lang w:val="id-ID" w:eastAsia="id-ID"/>
              </w:rPr>
            </w:pPr>
            <w:r w:rsidRPr="009D3C6B">
              <w:rPr>
                <w:color w:val="000000"/>
                <w:lang w:val="id-ID" w:eastAsia="id-ID"/>
              </w:rPr>
              <w:t>G</w:t>
            </w:r>
          </w:p>
        </w:tc>
        <w:tc>
          <w:tcPr>
            <w:tcW w:w="6120" w:type="dxa"/>
            <w:tcBorders>
              <w:top w:val="nil"/>
              <w:left w:val="nil"/>
              <w:bottom w:val="single" w:sz="4" w:space="0" w:color="auto"/>
              <w:right w:val="single" w:sz="4" w:space="0" w:color="auto"/>
            </w:tcBorders>
            <w:shd w:val="clear" w:color="auto" w:fill="auto"/>
            <w:noWrap/>
            <w:vAlign w:val="bottom"/>
            <w:hideMark/>
          </w:tcPr>
          <w:p w14:paraId="166000F3" w14:textId="77777777" w:rsidR="00314E97" w:rsidRPr="009D3C6B" w:rsidRDefault="00314E97" w:rsidP="00477F24">
            <w:pPr>
              <w:ind w:left="709"/>
              <w:rPr>
                <w:color w:val="000000"/>
                <w:lang w:val="id-ID" w:eastAsia="id-ID"/>
              </w:rPr>
            </w:pPr>
            <w:r w:rsidRPr="009D3C6B">
              <w:rPr>
                <w:color w:val="000000"/>
                <w:lang w:val="id-ID" w:eastAsia="id-ID"/>
              </w:rPr>
              <w:t>Perdagangan Besar dan Eceran; Reparasi Mobil dan Sepeda Motor</w:t>
            </w:r>
          </w:p>
        </w:tc>
      </w:tr>
      <w:tr w:rsidR="00314E97" w:rsidRPr="009D3C6B" w14:paraId="58BC4282"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383F0052" w14:textId="77777777" w:rsidR="00314E97" w:rsidRPr="009D3C6B" w:rsidRDefault="00314E97" w:rsidP="00477F24">
            <w:pPr>
              <w:ind w:left="709"/>
              <w:jc w:val="center"/>
              <w:rPr>
                <w:color w:val="000000"/>
                <w:lang w:val="id-ID" w:eastAsia="id-ID"/>
              </w:rPr>
            </w:pPr>
            <w:r w:rsidRPr="009D3C6B">
              <w:rPr>
                <w:color w:val="000000"/>
                <w:lang w:val="id-ID" w:eastAsia="id-ID"/>
              </w:rPr>
              <w:t>H</w:t>
            </w:r>
          </w:p>
        </w:tc>
        <w:tc>
          <w:tcPr>
            <w:tcW w:w="6120" w:type="dxa"/>
            <w:tcBorders>
              <w:top w:val="nil"/>
              <w:left w:val="nil"/>
              <w:bottom w:val="single" w:sz="4" w:space="0" w:color="auto"/>
              <w:right w:val="single" w:sz="4" w:space="0" w:color="auto"/>
            </w:tcBorders>
            <w:shd w:val="clear" w:color="auto" w:fill="auto"/>
            <w:noWrap/>
            <w:vAlign w:val="bottom"/>
            <w:hideMark/>
          </w:tcPr>
          <w:p w14:paraId="63FC14F1" w14:textId="77777777" w:rsidR="00314E97" w:rsidRPr="009D3C6B" w:rsidRDefault="00314E97" w:rsidP="00477F24">
            <w:pPr>
              <w:ind w:left="709"/>
              <w:rPr>
                <w:color w:val="000000"/>
                <w:lang w:val="id-ID" w:eastAsia="id-ID"/>
              </w:rPr>
            </w:pPr>
            <w:r w:rsidRPr="009D3C6B">
              <w:rPr>
                <w:color w:val="000000"/>
                <w:lang w:val="id-ID" w:eastAsia="id-ID"/>
              </w:rPr>
              <w:t>Transportasi dan Pergudangan</w:t>
            </w:r>
          </w:p>
        </w:tc>
      </w:tr>
      <w:tr w:rsidR="00314E97" w:rsidRPr="009D3C6B" w14:paraId="7CFE47D0"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95050B7" w14:textId="77777777" w:rsidR="00314E97" w:rsidRPr="009D3C6B" w:rsidRDefault="00314E97" w:rsidP="00477F24">
            <w:pPr>
              <w:ind w:left="709"/>
              <w:jc w:val="center"/>
              <w:rPr>
                <w:color w:val="000000"/>
                <w:lang w:val="id-ID" w:eastAsia="id-ID"/>
              </w:rPr>
            </w:pPr>
            <w:r w:rsidRPr="009D3C6B">
              <w:rPr>
                <w:color w:val="000000"/>
                <w:lang w:val="id-ID" w:eastAsia="id-ID"/>
              </w:rPr>
              <w:t>I</w:t>
            </w:r>
          </w:p>
        </w:tc>
        <w:tc>
          <w:tcPr>
            <w:tcW w:w="6120" w:type="dxa"/>
            <w:tcBorders>
              <w:top w:val="nil"/>
              <w:left w:val="nil"/>
              <w:bottom w:val="single" w:sz="4" w:space="0" w:color="auto"/>
              <w:right w:val="single" w:sz="4" w:space="0" w:color="auto"/>
            </w:tcBorders>
            <w:shd w:val="clear" w:color="auto" w:fill="auto"/>
            <w:noWrap/>
            <w:vAlign w:val="bottom"/>
            <w:hideMark/>
          </w:tcPr>
          <w:p w14:paraId="29354E01" w14:textId="77777777" w:rsidR="00314E97" w:rsidRPr="009D3C6B" w:rsidRDefault="00314E97" w:rsidP="00477F24">
            <w:pPr>
              <w:ind w:left="709"/>
              <w:rPr>
                <w:color w:val="000000"/>
                <w:lang w:val="id-ID" w:eastAsia="id-ID"/>
              </w:rPr>
            </w:pPr>
            <w:r w:rsidRPr="009D3C6B">
              <w:rPr>
                <w:color w:val="000000"/>
                <w:lang w:val="id-ID" w:eastAsia="id-ID"/>
              </w:rPr>
              <w:t>Penyediaan Akomodasi dan Makan Minum</w:t>
            </w:r>
          </w:p>
        </w:tc>
      </w:tr>
      <w:tr w:rsidR="00314E97" w:rsidRPr="009D3C6B" w14:paraId="7E1D63AE"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215F365" w14:textId="77777777" w:rsidR="00314E97" w:rsidRPr="009D3C6B" w:rsidRDefault="00314E97" w:rsidP="00477F24">
            <w:pPr>
              <w:ind w:left="709"/>
              <w:jc w:val="center"/>
              <w:rPr>
                <w:color w:val="000000"/>
                <w:lang w:val="id-ID" w:eastAsia="id-ID"/>
              </w:rPr>
            </w:pPr>
            <w:r w:rsidRPr="009D3C6B">
              <w:rPr>
                <w:color w:val="000000"/>
                <w:lang w:val="id-ID" w:eastAsia="id-ID"/>
              </w:rPr>
              <w:t>J</w:t>
            </w:r>
          </w:p>
        </w:tc>
        <w:tc>
          <w:tcPr>
            <w:tcW w:w="6120" w:type="dxa"/>
            <w:tcBorders>
              <w:top w:val="nil"/>
              <w:left w:val="nil"/>
              <w:bottom w:val="single" w:sz="4" w:space="0" w:color="auto"/>
              <w:right w:val="single" w:sz="4" w:space="0" w:color="auto"/>
            </w:tcBorders>
            <w:shd w:val="clear" w:color="auto" w:fill="auto"/>
            <w:noWrap/>
            <w:vAlign w:val="bottom"/>
            <w:hideMark/>
          </w:tcPr>
          <w:p w14:paraId="5F2734B1" w14:textId="77777777" w:rsidR="00314E97" w:rsidRPr="009D3C6B" w:rsidRDefault="00314E97" w:rsidP="00477F24">
            <w:pPr>
              <w:ind w:left="709"/>
              <w:rPr>
                <w:color w:val="000000"/>
                <w:lang w:val="id-ID" w:eastAsia="id-ID"/>
              </w:rPr>
            </w:pPr>
            <w:r w:rsidRPr="009D3C6B">
              <w:rPr>
                <w:color w:val="000000"/>
                <w:lang w:val="id-ID" w:eastAsia="id-ID"/>
              </w:rPr>
              <w:t>Informasi dan Komunikasi</w:t>
            </w:r>
          </w:p>
        </w:tc>
      </w:tr>
      <w:tr w:rsidR="00314E97" w:rsidRPr="009D3C6B" w14:paraId="702A7589"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886144E" w14:textId="77777777" w:rsidR="00314E97" w:rsidRPr="009D3C6B" w:rsidRDefault="00314E97" w:rsidP="00477F24">
            <w:pPr>
              <w:ind w:left="709"/>
              <w:jc w:val="center"/>
              <w:rPr>
                <w:color w:val="000000"/>
                <w:lang w:val="id-ID" w:eastAsia="id-ID"/>
              </w:rPr>
            </w:pPr>
            <w:r w:rsidRPr="009D3C6B">
              <w:rPr>
                <w:color w:val="000000"/>
                <w:lang w:val="id-ID" w:eastAsia="id-ID"/>
              </w:rPr>
              <w:t>K</w:t>
            </w:r>
          </w:p>
        </w:tc>
        <w:tc>
          <w:tcPr>
            <w:tcW w:w="6120" w:type="dxa"/>
            <w:tcBorders>
              <w:top w:val="nil"/>
              <w:left w:val="nil"/>
              <w:bottom w:val="single" w:sz="4" w:space="0" w:color="auto"/>
              <w:right w:val="single" w:sz="4" w:space="0" w:color="auto"/>
            </w:tcBorders>
            <w:shd w:val="clear" w:color="auto" w:fill="auto"/>
            <w:noWrap/>
            <w:vAlign w:val="bottom"/>
            <w:hideMark/>
          </w:tcPr>
          <w:p w14:paraId="5AC5C52F" w14:textId="77777777" w:rsidR="00314E97" w:rsidRPr="009D3C6B" w:rsidRDefault="00314E97" w:rsidP="00477F24">
            <w:pPr>
              <w:ind w:left="709"/>
              <w:rPr>
                <w:color w:val="000000"/>
                <w:lang w:val="id-ID" w:eastAsia="id-ID"/>
              </w:rPr>
            </w:pPr>
            <w:r w:rsidRPr="009D3C6B">
              <w:rPr>
                <w:color w:val="000000"/>
                <w:lang w:val="id-ID" w:eastAsia="id-ID"/>
              </w:rPr>
              <w:t>Jasa Keuangan dan Asuransi</w:t>
            </w:r>
          </w:p>
        </w:tc>
      </w:tr>
      <w:tr w:rsidR="00314E97" w:rsidRPr="009D3C6B" w14:paraId="4A83A807"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27EC0454" w14:textId="77777777" w:rsidR="00314E97" w:rsidRPr="009D3C6B" w:rsidRDefault="00314E97" w:rsidP="00477F24">
            <w:pPr>
              <w:ind w:left="709"/>
              <w:jc w:val="center"/>
              <w:rPr>
                <w:color w:val="000000"/>
                <w:lang w:val="id-ID" w:eastAsia="id-ID"/>
              </w:rPr>
            </w:pPr>
            <w:r w:rsidRPr="009D3C6B">
              <w:rPr>
                <w:color w:val="000000"/>
                <w:lang w:val="id-ID" w:eastAsia="id-ID"/>
              </w:rPr>
              <w:t>L</w:t>
            </w:r>
          </w:p>
        </w:tc>
        <w:tc>
          <w:tcPr>
            <w:tcW w:w="6120" w:type="dxa"/>
            <w:tcBorders>
              <w:top w:val="nil"/>
              <w:left w:val="nil"/>
              <w:bottom w:val="single" w:sz="4" w:space="0" w:color="auto"/>
              <w:right w:val="single" w:sz="4" w:space="0" w:color="auto"/>
            </w:tcBorders>
            <w:shd w:val="clear" w:color="auto" w:fill="auto"/>
            <w:noWrap/>
            <w:vAlign w:val="bottom"/>
            <w:hideMark/>
          </w:tcPr>
          <w:p w14:paraId="246ED239" w14:textId="77777777" w:rsidR="00314E97" w:rsidRPr="009D3C6B" w:rsidRDefault="00314E97" w:rsidP="00477F24">
            <w:pPr>
              <w:ind w:left="709"/>
              <w:rPr>
                <w:color w:val="000000"/>
                <w:lang w:val="id-ID" w:eastAsia="id-ID"/>
              </w:rPr>
            </w:pPr>
            <w:r w:rsidRPr="009D3C6B">
              <w:rPr>
                <w:color w:val="000000"/>
                <w:lang w:val="id-ID" w:eastAsia="id-ID"/>
              </w:rPr>
              <w:t>Real Estate</w:t>
            </w:r>
          </w:p>
        </w:tc>
      </w:tr>
      <w:tr w:rsidR="00314E97" w:rsidRPr="009D3C6B" w14:paraId="7991C2B1"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37D1EDC9" w14:textId="77777777" w:rsidR="00314E97" w:rsidRPr="009D3C6B" w:rsidRDefault="00314E97" w:rsidP="00477F24">
            <w:pPr>
              <w:ind w:left="709"/>
              <w:jc w:val="center"/>
              <w:rPr>
                <w:color w:val="000000"/>
                <w:lang w:val="id-ID" w:eastAsia="id-ID"/>
              </w:rPr>
            </w:pPr>
            <w:r w:rsidRPr="009D3C6B">
              <w:rPr>
                <w:color w:val="000000"/>
                <w:lang w:val="id-ID" w:eastAsia="id-ID"/>
              </w:rPr>
              <w:t>M</w:t>
            </w:r>
          </w:p>
        </w:tc>
        <w:tc>
          <w:tcPr>
            <w:tcW w:w="6120" w:type="dxa"/>
            <w:tcBorders>
              <w:top w:val="nil"/>
              <w:left w:val="nil"/>
              <w:bottom w:val="single" w:sz="4" w:space="0" w:color="auto"/>
              <w:right w:val="single" w:sz="4" w:space="0" w:color="auto"/>
            </w:tcBorders>
            <w:shd w:val="clear" w:color="auto" w:fill="auto"/>
            <w:noWrap/>
            <w:vAlign w:val="bottom"/>
            <w:hideMark/>
          </w:tcPr>
          <w:p w14:paraId="0B9BF850" w14:textId="77777777" w:rsidR="00314E97" w:rsidRPr="009D3C6B" w:rsidRDefault="00314E97" w:rsidP="00477F24">
            <w:pPr>
              <w:ind w:left="709"/>
              <w:rPr>
                <w:color w:val="000000"/>
                <w:lang w:val="id-ID" w:eastAsia="id-ID"/>
              </w:rPr>
            </w:pPr>
            <w:r w:rsidRPr="009D3C6B">
              <w:rPr>
                <w:color w:val="000000"/>
                <w:lang w:val="id-ID" w:eastAsia="id-ID"/>
              </w:rPr>
              <w:t>Jasa Perusahaan</w:t>
            </w:r>
          </w:p>
        </w:tc>
      </w:tr>
      <w:tr w:rsidR="00314E97" w:rsidRPr="009D3C6B" w14:paraId="5B2F867A"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67E6F1E4" w14:textId="77777777" w:rsidR="00314E97" w:rsidRPr="009D3C6B" w:rsidRDefault="00314E97" w:rsidP="00477F24">
            <w:pPr>
              <w:ind w:left="709"/>
              <w:jc w:val="center"/>
              <w:rPr>
                <w:color w:val="000000"/>
                <w:lang w:val="id-ID" w:eastAsia="id-ID"/>
              </w:rPr>
            </w:pPr>
            <w:r w:rsidRPr="009D3C6B">
              <w:rPr>
                <w:color w:val="000000"/>
                <w:lang w:val="id-ID" w:eastAsia="id-ID"/>
              </w:rPr>
              <w:t>N</w:t>
            </w:r>
          </w:p>
        </w:tc>
        <w:tc>
          <w:tcPr>
            <w:tcW w:w="6120" w:type="dxa"/>
            <w:tcBorders>
              <w:top w:val="nil"/>
              <w:left w:val="nil"/>
              <w:bottom w:val="single" w:sz="4" w:space="0" w:color="auto"/>
              <w:right w:val="single" w:sz="4" w:space="0" w:color="auto"/>
            </w:tcBorders>
            <w:shd w:val="clear" w:color="auto" w:fill="auto"/>
            <w:noWrap/>
            <w:vAlign w:val="bottom"/>
            <w:hideMark/>
          </w:tcPr>
          <w:p w14:paraId="21DA9FC1" w14:textId="77777777" w:rsidR="00314E97" w:rsidRPr="009D3C6B" w:rsidRDefault="00314E97" w:rsidP="00477F24">
            <w:pPr>
              <w:ind w:left="709"/>
              <w:rPr>
                <w:color w:val="000000"/>
                <w:lang w:val="id-ID" w:eastAsia="id-ID"/>
              </w:rPr>
            </w:pPr>
            <w:r w:rsidRPr="009D3C6B">
              <w:rPr>
                <w:color w:val="000000"/>
                <w:lang w:val="id-ID" w:eastAsia="id-ID"/>
              </w:rPr>
              <w:t>Administrasi Pemerintahan, Pertahanan dan Jaminan Sosial Wajib</w:t>
            </w:r>
          </w:p>
        </w:tc>
      </w:tr>
      <w:tr w:rsidR="00314E97" w:rsidRPr="009D3C6B" w14:paraId="255F31AD" w14:textId="77777777" w:rsidTr="00B80CC0">
        <w:trPr>
          <w:trHeight w:val="300"/>
        </w:trPr>
        <w:tc>
          <w:tcPr>
            <w:tcW w:w="732" w:type="dxa"/>
            <w:tcBorders>
              <w:top w:val="nil"/>
              <w:left w:val="single" w:sz="4" w:space="0" w:color="auto"/>
              <w:bottom w:val="single" w:sz="4" w:space="0" w:color="auto"/>
              <w:right w:val="single" w:sz="4" w:space="0" w:color="auto"/>
            </w:tcBorders>
            <w:shd w:val="clear" w:color="auto" w:fill="auto"/>
            <w:noWrap/>
            <w:vAlign w:val="bottom"/>
            <w:hideMark/>
          </w:tcPr>
          <w:p w14:paraId="4946EE94" w14:textId="77777777" w:rsidR="00314E97" w:rsidRPr="009D3C6B" w:rsidRDefault="00314E97" w:rsidP="00477F24">
            <w:pPr>
              <w:ind w:left="709"/>
              <w:jc w:val="center"/>
              <w:rPr>
                <w:color w:val="000000"/>
                <w:lang w:val="id-ID" w:eastAsia="id-ID"/>
              </w:rPr>
            </w:pPr>
            <w:r w:rsidRPr="009D3C6B">
              <w:rPr>
                <w:color w:val="000000"/>
                <w:lang w:val="id-ID" w:eastAsia="id-ID"/>
              </w:rPr>
              <w:t>O</w:t>
            </w:r>
          </w:p>
        </w:tc>
        <w:tc>
          <w:tcPr>
            <w:tcW w:w="6120" w:type="dxa"/>
            <w:tcBorders>
              <w:top w:val="nil"/>
              <w:left w:val="nil"/>
              <w:bottom w:val="single" w:sz="4" w:space="0" w:color="auto"/>
              <w:right w:val="single" w:sz="4" w:space="0" w:color="auto"/>
            </w:tcBorders>
            <w:shd w:val="clear" w:color="auto" w:fill="auto"/>
            <w:noWrap/>
            <w:vAlign w:val="bottom"/>
            <w:hideMark/>
          </w:tcPr>
          <w:p w14:paraId="413B920F" w14:textId="77777777" w:rsidR="00314E97" w:rsidRPr="009D3C6B" w:rsidRDefault="00314E97" w:rsidP="00477F24">
            <w:pPr>
              <w:ind w:left="709"/>
              <w:rPr>
                <w:color w:val="000000"/>
                <w:lang w:val="id-ID" w:eastAsia="id-ID"/>
              </w:rPr>
            </w:pPr>
            <w:r w:rsidRPr="009D3C6B">
              <w:rPr>
                <w:color w:val="000000"/>
                <w:lang w:val="id-ID" w:eastAsia="id-ID"/>
              </w:rPr>
              <w:t>Jasa Pendidikan</w:t>
            </w:r>
          </w:p>
        </w:tc>
      </w:tr>
    </w:tbl>
    <w:p w14:paraId="500186B9" w14:textId="27E4CD7A" w:rsidR="00314E97" w:rsidRPr="009D3C6B" w:rsidRDefault="00B80CC0" w:rsidP="00314E97">
      <w:pPr>
        <w:pStyle w:val="NoSpacing"/>
        <w:spacing w:line="360" w:lineRule="auto"/>
        <w:ind w:left="567"/>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 xml:space="preserve">       </w:t>
      </w:r>
      <w:r w:rsidR="00314E97" w:rsidRPr="009D3C6B">
        <w:rPr>
          <w:rFonts w:ascii="Times New Roman" w:hAnsi="Times New Roman" w:cs="Times New Roman"/>
          <w:color w:val="000000"/>
          <w:sz w:val="24"/>
          <w:szCs w:val="24"/>
          <w:lang w:val="id-ID"/>
        </w:rPr>
        <w:t>Sumber  data  :  BPS Tahun 2019</w:t>
      </w:r>
    </w:p>
    <w:p w14:paraId="659A4EFB" w14:textId="7C594DEE" w:rsidR="00314E97" w:rsidRDefault="0076419F" w:rsidP="00314E97">
      <w:pPr>
        <w:pStyle w:val="NoSpacing"/>
        <w:spacing w:line="360" w:lineRule="auto"/>
        <w:ind w:left="567"/>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 xml:space="preserve"> Adapun data  Riil  PDRB  P</w:t>
      </w:r>
      <w:r w:rsidR="00314E97" w:rsidRPr="009D3C6B">
        <w:rPr>
          <w:rFonts w:ascii="Times New Roman" w:hAnsi="Times New Roman" w:cs="Times New Roman"/>
          <w:color w:val="000000"/>
          <w:sz w:val="24"/>
          <w:szCs w:val="24"/>
          <w:lang w:val="id-ID"/>
        </w:rPr>
        <w:t>rovinsi  Nusa Tenggara  Timu</w:t>
      </w:r>
      <w:r w:rsidR="00145EC2">
        <w:rPr>
          <w:rFonts w:ascii="Times New Roman" w:hAnsi="Times New Roman" w:cs="Times New Roman"/>
          <w:color w:val="000000"/>
          <w:sz w:val="24"/>
          <w:szCs w:val="24"/>
          <w:lang w:val="id-ID"/>
        </w:rPr>
        <w:t>r</w:t>
      </w:r>
      <w:r w:rsidR="00314E97" w:rsidRPr="009D3C6B">
        <w:rPr>
          <w:rFonts w:ascii="Times New Roman" w:hAnsi="Times New Roman" w:cs="Times New Roman"/>
          <w:color w:val="000000"/>
          <w:sz w:val="24"/>
          <w:szCs w:val="24"/>
          <w:lang w:val="id-ID"/>
        </w:rPr>
        <w:t>r  periode   2013 -2018   d</w:t>
      </w:r>
      <w:r w:rsidR="00B80CC0" w:rsidRPr="009D3C6B">
        <w:rPr>
          <w:rFonts w:ascii="Times New Roman" w:hAnsi="Times New Roman" w:cs="Times New Roman"/>
          <w:color w:val="000000"/>
          <w:sz w:val="24"/>
          <w:szCs w:val="24"/>
          <w:lang w:val="id-ID"/>
        </w:rPr>
        <w:t xml:space="preserve">apat  di lihat pada  grafik   </w:t>
      </w:r>
      <w:r w:rsidR="00314E97" w:rsidRPr="009D3C6B">
        <w:rPr>
          <w:rFonts w:ascii="Times New Roman" w:hAnsi="Times New Roman" w:cs="Times New Roman"/>
          <w:color w:val="000000"/>
          <w:sz w:val="24"/>
          <w:szCs w:val="24"/>
          <w:lang w:val="id-ID"/>
        </w:rPr>
        <w:t xml:space="preserve"> berikut :</w:t>
      </w:r>
    </w:p>
    <w:p w14:paraId="11DDC26D" w14:textId="77777777" w:rsidR="00C24F43" w:rsidRPr="009D3C6B" w:rsidRDefault="00C24F43" w:rsidP="00314E97">
      <w:pPr>
        <w:pStyle w:val="NoSpacing"/>
        <w:spacing w:line="360" w:lineRule="auto"/>
        <w:ind w:left="567"/>
        <w:rPr>
          <w:rFonts w:ascii="Times New Roman" w:hAnsi="Times New Roman" w:cs="Times New Roman"/>
          <w:color w:val="000000"/>
          <w:sz w:val="24"/>
          <w:szCs w:val="24"/>
          <w:lang w:val="id-ID"/>
        </w:rPr>
      </w:pPr>
    </w:p>
    <w:p w14:paraId="1A82A1ED" w14:textId="34115DB3" w:rsidR="00365341" w:rsidRPr="009D3C6B" w:rsidRDefault="00365341" w:rsidP="00365341">
      <w:pPr>
        <w:pStyle w:val="NoSpacing"/>
        <w:spacing w:line="360" w:lineRule="auto"/>
        <w:ind w:left="567"/>
        <w:jc w:val="center"/>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lastRenderedPageBreak/>
        <w:t>Grafik  1. Perkembangan  PDRB menurut  Sektor Ekonomi   Propinsi NTT  periode  2013 -2018</w:t>
      </w:r>
    </w:p>
    <w:p w14:paraId="74EC0893" w14:textId="1E11EAA9" w:rsidR="00874EFB" w:rsidRPr="009D3C6B" w:rsidRDefault="00874EFB" w:rsidP="00365341">
      <w:pPr>
        <w:pStyle w:val="NoSpacing"/>
        <w:spacing w:line="360" w:lineRule="auto"/>
        <w:ind w:left="567"/>
        <w:jc w:val="center"/>
        <w:rPr>
          <w:rFonts w:ascii="Times New Roman" w:hAnsi="Times New Roman" w:cs="Times New Roman"/>
          <w:b/>
          <w:color w:val="000000"/>
          <w:sz w:val="24"/>
          <w:szCs w:val="24"/>
          <w:lang w:val="id-ID"/>
        </w:rPr>
      </w:pPr>
      <w:r w:rsidRPr="009D3C6B">
        <w:rPr>
          <w:rFonts w:ascii="Times New Roman" w:hAnsi="Times New Roman" w:cs="Times New Roman"/>
          <w:noProof/>
          <w:sz w:val="24"/>
          <w:szCs w:val="24"/>
          <w:lang w:val="id-ID" w:eastAsia="id-ID"/>
        </w:rPr>
        <w:drawing>
          <wp:inline distT="0" distB="0" distL="0" distR="0" wp14:anchorId="30642798" wp14:editId="62C314FE">
            <wp:extent cx="4572000" cy="2794000"/>
            <wp:effectExtent l="0" t="0" r="19050" b="254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146AF5" w14:textId="77777777" w:rsidR="00314E97" w:rsidRPr="009D3C6B" w:rsidRDefault="00314E97" w:rsidP="00314E97">
      <w:pPr>
        <w:pStyle w:val="NoSpacing"/>
        <w:spacing w:line="360" w:lineRule="auto"/>
        <w:ind w:left="567"/>
        <w:jc w:val="both"/>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t>Sumber Data : BPS   ( data hasil olahan tahun 2019)</w:t>
      </w:r>
    </w:p>
    <w:p w14:paraId="29120B07" w14:textId="77777777" w:rsidR="00365341" w:rsidRPr="009D3C6B" w:rsidRDefault="00365341" w:rsidP="00314E97">
      <w:pPr>
        <w:pStyle w:val="NoSpacing"/>
        <w:spacing w:line="360" w:lineRule="auto"/>
        <w:ind w:left="567"/>
        <w:jc w:val="both"/>
        <w:rPr>
          <w:rFonts w:ascii="Times New Roman" w:hAnsi="Times New Roman" w:cs="Times New Roman"/>
          <w:b/>
          <w:color w:val="000000"/>
          <w:sz w:val="24"/>
          <w:szCs w:val="24"/>
          <w:lang w:val="id-ID"/>
        </w:rPr>
      </w:pPr>
    </w:p>
    <w:p w14:paraId="6758269F" w14:textId="77777777" w:rsidR="00314E97" w:rsidRPr="009D3C6B" w:rsidRDefault="00314E97" w:rsidP="00314E97">
      <w:pPr>
        <w:pStyle w:val="NoSpacing"/>
        <w:spacing w:line="360" w:lineRule="auto"/>
        <w:ind w:left="567"/>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Grafik tersebut menunjukan bahwa perkembangan  PDRB  di provinsi NTT selama  tahun 2013 – 2018 fluktuatif, dimana  pada  tahun  2013 sebesar 5,43%  tahun 2014  naik menjadi 5,05 % tahun 2015 mengalami penuruinan yang cukup  signifikan  hanya  mencapai 4,92 %, tahun 2016 naik lagi  menjadi 5,12 %, tahun 2016, turun menjadi  5,11 %  dan tahun 2018  naik lagi menjadi 5,13 %.</w:t>
      </w:r>
    </w:p>
    <w:p w14:paraId="3BCE9800" w14:textId="77777777" w:rsidR="00314E97" w:rsidRPr="009D3C6B" w:rsidRDefault="00314E97" w:rsidP="00314E97">
      <w:pPr>
        <w:pStyle w:val="NoSpacing"/>
        <w:spacing w:line="360" w:lineRule="auto"/>
        <w:ind w:left="1276" w:hanging="1276"/>
        <w:jc w:val="both"/>
        <w:rPr>
          <w:rFonts w:ascii="Times New Roman" w:hAnsi="Times New Roman" w:cs="Times New Roman"/>
          <w:b/>
          <w:color w:val="000000"/>
          <w:sz w:val="24"/>
          <w:szCs w:val="24"/>
          <w:lang w:val="id-ID"/>
        </w:rPr>
      </w:pPr>
    </w:p>
    <w:p w14:paraId="7FAA0399" w14:textId="6C1627E8" w:rsidR="00314E97" w:rsidRPr="009D3C6B" w:rsidRDefault="00B80CC0" w:rsidP="00314E97">
      <w:pPr>
        <w:pStyle w:val="NoSpacing"/>
        <w:spacing w:line="360" w:lineRule="auto"/>
        <w:ind w:left="1276" w:hanging="1276"/>
        <w:jc w:val="both"/>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t xml:space="preserve">         b. </w:t>
      </w:r>
      <w:r w:rsidR="00253A98" w:rsidRPr="009D3C6B">
        <w:rPr>
          <w:rFonts w:ascii="Times New Roman" w:hAnsi="Times New Roman" w:cs="Times New Roman"/>
          <w:b/>
          <w:color w:val="000000"/>
          <w:sz w:val="24"/>
          <w:szCs w:val="24"/>
          <w:lang w:val="id-ID"/>
        </w:rPr>
        <w:t>La</w:t>
      </w:r>
      <w:r w:rsidR="00314E97" w:rsidRPr="009D3C6B">
        <w:rPr>
          <w:rFonts w:ascii="Times New Roman" w:hAnsi="Times New Roman" w:cs="Times New Roman"/>
          <w:b/>
          <w:color w:val="000000"/>
          <w:sz w:val="24"/>
          <w:szCs w:val="24"/>
          <w:lang w:val="id-ID"/>
        </w:rPr>
        <w:t xml:space="preserve">ju Pertumbuhan  Ekonomi   Provinsi  Nusa  Tenggara  Timur </w:t>
      </w:r>
    </w:p>
    <w:p w14:paraId="38590F5A" w14:textId="16C2D591" w:rsidR="00314E97" w:rsidRPr="009D3C6B" w:rsidRDefault="00314E97" w:rsidP="00314E97">
      <w:pPr>
        <w:pStyle w:val="NoSpacing"/>
        <w:spacing w:line="360" w:lineRule="auto"/>
        <w:ind w:left="709" w:hanging="142"/>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ab/>
      </w:r>
      <w:r w:rsidRPr="009D3C6B">
        <w:rPr>
          <w:rFonts w:ascii="Times New Roman" w:hAnsi="Times New Roman" w:cs="Times New Roman"/>
          <w:color w:val="000000"/>
          <w:sz w:val="24"/>
          <w:szCs w:val="24"/>
          <w:lang w:val="id-ID"/>
        </w:rPr>
        <w:tab/>
      </w:r>
      <w:r w:rsidRPr="009D3C6B">
        <w:rPr>
          <w:rFonts w:ascii="Times New Roman" w:hAnsi="Times New Roman" w:cs="Times New Roman"/>
          <w:color w:val="000000"/>
          <w:sz w:val="24"/>
          <w:szCs w:val="24"/>
          <w:lang w:val="id-ID"/>
        </w:rPr>
        <w:tab/>
      </w:r>
      <w:r w:rsidR="00253A98" w:rsidRPr="009D3C6B">
        <w:rPr>
          <w:rFonts w:ascii="Times New Roman" w:hAnsi="Times New Roman" w:cs="Times New Roman"/>
          <w:color w:val="000000"/>
          <w:sz w:val="24"/>
          <w:szCs w:val="24"/>
          <w:lang w:val="id-ID"/>
        </w:rPr>
        <w:t xml:space="preserve"> Ukuran  keberhasilan kegiatan pembangunan dalam daerah adalah Laju Pertumbuhan  Ekonomi. Karena Pertumbuhan  Ekonomi  merupakan  suatu proses perubahan kondisi perekonomian   suatu daerah secara berkesinambungan menuju suatu keadaan perekonomian yang lebih baik selama periode tertentu, yang  mana  hal tersebut  biasanya  di tandai dengan kenaikan  kapasitas  produksi  suatu perekonomian  yang  d</w:t>
      </w:r>
      <w:r w:rsidR="009866F4" w:rsidRPr="009D3C6B">
        <w:rPr>
          <w:rFonts w:ascii="Times New Roman" w:hAnsi="Times New Roman" w:cs="Times New Roman"/>
          <w:color w:val="000000"/>
          <w:sz w:val="24"/>
          <w:szCs w:val="24"/>
          <w:lang w:val="id-ID"/>
        </w:rPr>
        <w:t xml:space="preserve">iwujutkan dalam bentuk kenaika  pendapatan.  Kondisi </w:t>
      </w:r>
      <w:r w:rsidR="00253A98" w:rsidRPr="009D3C6B">
        <w:rPr>
          <w:rFonts w:ascii="Times New Roman" w:hAnsi="Times New Roman" w:cs="Times New Roman"/>
          <w:color w:val="000000"/>
          <w:sz w:val="24"/>
          <w:szCs w:val="24"/>
          <w:lang w:val="id-ID"/>
        </w:rPr>
        <w:t xml:space="preserve"> </w:t>
      </w:r>
      <w:r w:rsidRPr="009D3C6B">
        <w:rPr>
          <w:rFonts w:ascii="Times New Roman" w:hAnsi="Times New Roman" w:cs="Times New Roman"/>
          <w:color w:val="000000"/>
          <w:sz w:val="24"/>
          <w:szCs w:val="24"/>
          <w:lang w:val="id-ID"/>
        </w:rPr>
        <w:t>Laju Pertumbuhan Ekonomi di provinsi Nusa Tenggara  Timur selama tahun  2011 – 2018  dapat  dilihat pa</w:t>
      </w:r>
      <w:r w:rsidR="009866F4" w:rsidRPr="009D3C6B">
        <w:rPr>
          <w:rFonts w:ascii="Times New Roman" w:hAnsi="Times New Roman" w:cs="Times New Roman"/>
          <w:color w:val="000000"/>
          <w:sz w:val="24"/>
          <w:szCs w:val="24"/>
          <w:lang w:val="id-ID"/>
        </w:rPr>
        <w:t xml:space="preserve">da  Grafik  </w:t>
      </w:r>
      <w:r w:rsidRPr="009D3C6B">
        <w:rPr>
          <w:rFonts w:ascii="Times New Roman" w:hAnsi="Times New Roman" w:cs="Times New Roman"/>
          <w:color w:val="000000"/>
          <w:sz w:val="24"/>
          <w:szCs w:val="24"/>
          <w:lang w:val="id-ID"/>
        </w:rPr>
        <w:t xml:space="preserve">  berikut :</w:t>
      </w:r>
    </w:p>
    <w:p w14:paraId="36800DF8" w14:textId="77777777" w:rsidR="00932152" w:rsidRDefault="00932152" w:rsidP="00874EFB">
      <w:pPr>
        <w:jc w:val="center"/>
        <w:rPr>
          <w:b/>
          <w:bCs/>
          <w:color w:val="000000"/>
          <w:kern w:val="24"/>
          <w:lang w:val="id-ID" w:eastAsia="id-ID"/>
        </w:rPr>
      </w:pPr>
    </w:p>
    <w:p w14:paraId="69A4C6AC" w14:textId="77777777" w:rsidR="00932152" w:rsidRDefault="00932152" w:rsidP="00874EFB">
      <w:pPr>
        <w:jc w:val="center"/>
        <w:rPr>
          <w:b/>
          <w:bCs/>
          <w:color w:val="000000"/>
          <w:kern w:val="24"/>
          <w:lang w:val="id-ID" w:eastAsia="id-ID"/>
        </w:rPr>
      </w:pPr>
    </w:p>
    <w:p w14:paraId="71669DAE" w14:textId="77777777" w:rsidR="00932152" w:rsidRDefault="00932152" w:rsidP="00874EFB">
      <w:pPr>
        <w:jc w:val="center"/>
        <w:rPr>
          <w:b/>
          <w:bCs/>
          <w:color w:val="000000"/>
          <w:kern w:val="24"/>
          <w:lang w:val="id-ID" w:eastAsia="id-ID"/>
        </w:rPr>
      </w:pPr>
    </w:p>
    <w:p w14:paraId="4BAEB275" w14:textId="216FC164" w:rsidR="00314E97" w:rsidRPr="009D3C6B" w:rsidRDefault="00314E97" w:rsidP="00874EFB">
      <w:pPr>
        <w:jc w:val="center"/>
        <w:rPr>
          <w:b/>
          <w:bCs/>
          <w:color w:val="000000"/>
          <w:kern w:val="24"/>
          <w:lang w:val="id-ID" w:eastAsia="id-ID"/>
        </w:rPr>
      </w:pPr>
      <w:r w:rsidRPr="009D3C6B">
        <w:rPr>
          <w:b/>
          <w:bCs/>
          <w:color w:val="000000"/>
          <w:kern w:val="24"/>
          <w:lang w:val="id-ID" w:eastAsia="id-ID"/>
        </w:rPr>
        <w:lastRenderedPageBreak/>
        <w:t xml:space="preserve"> Grafik </w:t>
      </w:r>
      <w:r w:rsidR="009866F4" w:rsidRPr="009D3C6B">
        <w:rPr>
          <w:b/>
          <w:bCs/>
          <w:color w:val="000000"/>
          <w:kern w:val="24"/>
          <w:lang w:val="id-ID" w:eastAsia="id-ID"/>
        </w:rPr>
        <w:t xml:space="preserve"> 2. </w:t>
      </w:r>
      <w:r w:rsidRPr="009D3C6B">
        <w:rPr>
          <w:b/>
          <w:bCs/>
          <w:color w:val="000000"/>
          <w:kern w:val="24"/>
          <w:lang w:val="id-ID" w:eastAsia="id-ID"/>
        </w:rPr>
        <w:t xml:space="preserve">  Laju  Pertumbuhan  Ekonomi</w:t>
      </w:r>
    </w:p>
    <w:p w14:paraId="08010647" w14:textId="77777777" w:rsidR="00314E97" w:rsidRPr="009D3C6B" w:rsidRDefault="00314E97" w:rsidP="00874EFB">
      <w:pPr>
        <w:jc w:val="center"/>
        <w:rPr>
          <w:b/>
          <w:bCs/>
          <w:color w:val="000000"/>
          <w:kern w:val="24"/>
          <w:lang w:val="id-ID" w:eastAsia="id-ID"/>
        </w:rPr>
      </w:pPr>
      <w:r w:rsidRPr="009D3C6B">
        <w:rPr>
          <w:b/>
          <w:bCs/>
          <w:color w:val="000000"/>
          <w:kern w:val="24"/>
          <w:lang w:val="id-ID" w:eastAsia="id-ID"/>
        </w:rPr>
        <w:t>Provinsi NTT   tahun  2011-2018</w:t>
      </w:r>
    </w:p>
    <w:p w14:paraId="241DA368" w14:textId="77777777" w:rsidR="00820193" w:rsidRPr="009D3C6B" w:rsidRDefault="00820193" w:rsidP="00874EFB">
      <w:pPr>
        <w:jc w:val="center"/>
        <w:rPr>
          <w:b/>
          <w:lang w:val="id-ID" w:eastAsia="id-ID"/>
        </w:rPr>
      </w:pPr>
    </w:p>
    <w:p w14:paraId="2A5A881E" w14:textId="77777777" w:rsidR="00314E97" w:rsidRPr="009D3C6B" w:rsidRDefault="00314E97" w:rsidP="00314E97">
      <w:pPr>
        <w:pStyle w:val="NoSpacing"/>
        <w:spacing w:line="360" w:lineRule="auto"/>
        <w:ind w:left="1276" w:hanging="709"/>
        <w:jc w:val="both"/>
        <w:rPr>
          <w:rFonts w:ascii="Times New Roman" w:hAnsi="Times New Roman" w:cs="Times New Roman"/>
          <w:color w:val="000000"/>
          <w:sz w:val="24"/>
          <w:szCs w:val="24"/>
          <w:lang w:val="id-ID"/>
        </w:rPr>
      </w:pPr>
      <w:r w:rsidRPr="009D3C6B">
        <w:rPr>
          <w:rFonts w:ascii="Times New Roman" w:hAnsi="Times New Roman" w:cs="Times New Roman"/>
          <w:noProof/>
          <w:sz w:val="24"/>
          <w:szCs w:val="24"/>
          <w:lang w:val="id-ID" w:eastAsia="id-ID"/>
        </w:rPr>
        <w:drawing>
          <wp:inline distT="0" distB="0" distL="0" distR="0" wp14:anchorId="54625A38" wp14:editId="7365D15C">
            <wp:extent cx="4667250" cy="17907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E24B4D2" w14:textId="7F35590F" w:rsidR="00314E97" w:rsidRPr="009D3C6B" w:rsidRDefault="00314E97" w:rsidP="00314E97">
      <w:pPr>
        <w:pStyle w:val="NoSpacing"/>
        <w:spacing w:line="480" w:lineRule="auto"/>
        <w:ind w:left="567"/>
        <w:jc w:val="both"/>
        <w:rPr>
          <w:rFonts w:ascii="Times New Roman" w:hAnsi="Times New Roman" w:cs="Times New Roman"/>
          <w:i/>
          <w:noProof/>
          <w:sz w:val="24"/>
          <w:szCs w:val="24"/>
          <w:lang w:val="id-ID" w:eastAsia="id-ID"/>
        </w:rPr>
      </w:pPr>
      <w:r w:rsidRPr="009D3C6B">
        <w:rPr>
          <w:rFonts w:ascii="Times New Roman" w:hAnsi="Times New Roman" w:cs="Times New Roman"/>
          <w:i/>
          <w:noProof/>
          <w:sz w:val="24"/>
          <w:szCs w:val="24"/>
          <w:lang w:val="id-ID" w:eastAsia="id-ID"/>
        </w:rPr>
        <w:t>Sumber  data :    BPS   tahun 2011-2018  (Grafik  hasil Olahan</w:t>
      </w:r>
      <w:r w:rsidR="00917B90" w:rsidRPr="009D3C6B">
        <w:rPr>
          <w:rFonts w:ascii="Times New Roman" w:hAnsi="Times New Roman" w:cs="Times New Roman"/>
          <w:i/>
          <w:noProof/>
          <w:sz w:val="24"/>
          <w:szCs w:val="24"/>
          <w:lang w:val="id-ID" w:eastAsia="id-ID"/>
        </w:rPr>
        <w:t xml:space="preserve">  2019</w:t>
      </w:r>
      <w:r w:rsidRPr="009D3C6B">
        <w:rPr>
          <w:rFonts w:ascii="Times New Roman" w:hAnsi="Times New Roman" w:cs="Times New Roman"/>
          <w:i/>
          <w:noProof/>
          <w:sz w:val="24"/>
          <w:szCs w:val="24"/>
          <w:lang w:val="id-ID" w:eastAsia="id-ID"/>
        </w:rPr>
        <w:t>)</w:t>
      </w:r>
    </w:p>
    <w:p w14:paraId="1139D8E6" w14:textId="77777777" w:rsidR="00314E97" w:rsidRPr="009D3C6B" w:rsidRDefault="00314E97" w:rsidP="00314E97">
      <w:pPr>
        <w:pStyle w:val="NoSpacing"/>
        <w:spacing w:line="360" w:lineRule="auto"/>
        <w:ind w:left="567"/>
        <w:jc w:val="both"/>
        <w:rPr>
          <w:rFonts w:ascii="Times New Roman" w:hAnsi="Times New Roman" w:cs="Times New Roman"/>
          <w:noProof/>
          <w:sz w:val="24"/>
          <w:szCs w:val="24"/>
          <w:lang w:val="id-ID" w:eastAsia="id-ID"/>
        </w:rPr>
      </w:pPr>
      <w:r w:rsidRPr="009D3C6B">
        <w:rPr>
          <w:rFonts w:ascii="Times New Roman" w:hAnsi="Times New Roman" w:cs="Times New Roman"/>
          <w:noProof/>
          <w:sz w:val="24"/>
          <w:szCs w:val="24"/>
          <w:lang w:val="id-ID" w:eastAsia="id-ID"/>
        </w:rPr>
        <w:t xml:space="preserve"> Grafik  diatas   menunjukan   bahwa   laju  pertumbuhan  ekonomi   di  Provinsi  Nusa Tenggara  Timur tahun  2011 -2018  berfluktuatif, yang  berada dalam  kisaran  angka 5,67% pada tahun  2011, dan  pada  tahun  2012-2015  mengalami   penurunan yang cukup signifikan, pada tahun  2012  5,46 % atau pengalami minus  yakni  sebesar  (- 0,21%), tahun  2013 (- 0,05% ) di  tahun  2014 (- 0,36 %)  Provinsi Nusa Tenggara Timur tahun 2015 mengalami penurunan pertumbuhan  minus yakni   sebesar  (-0,13 %) dan  mencapai  tingkat pertumbuhan   ekonomi terendah dimana hanya mencapai 4, 92 %. Pertumbuhan Ekonomi  tahun  2015  merupakan  capaian  pertumbuhan   ekonomi  terendah selama  tahun  2011 -2018.  Kemudian   pada tahun  2016  naik  sebesar  0,26 %    atau  menjadi  5,18 % dan  pada  tahun  2017 laju pertumbuhan  ekonomi  provinsi Nusa tenggara  Timur mengalami  pertumbuhan   ekonomi  kembali  Minus yakni  5.16 %  pada tahun mengalami  penurunan  sebesar  0,02% dan  pada  tahun 2018 pertumbuhan  ekonomi NTT kembali  melambat dan  hanya  mencapai 5,3 %  atau  mengalami  pertumbuhan  ekonomi  yang  minus  yakni  sebesar  ( -0.03%).</w:t>
      </w:r>
    </w:p>
    <w:p w14:paraId="2128EABD" w14:textId="77777777" w:rsidR="00CE0A83" w:rsidRPr="009D3C6B" w:rsidRDefault="00CE0A83" w:rsidP="009644C5">
      <w:pPr>
        <w:pStyle w:val="Heading1"/>
        <w:numPr>
          <w:ilvl w:val="0"/>
          <w:numId w:val="0"/>
        </w:numPr>
        <w:spacing w:before="0" w:after="0" w:line="360" w:lineRule="auto"/>
        <w:ind w:left="360" w:hanging="360"/>
        <w:rPr>
          <w:sz w:val="24"/>
          <w:szCs w:val="24"/>
          <w:lang w:val="id-ID"/>
        </w:rPr>
      </w:pPr>
    </w:p>
    <w:p w14:paraId="560CA03E" w14:textId="055883CE" w:rsidR="009644C5" w:rsidRPr="009D3C6B" w:rsidRDefault="00A115DA" w:rsidP="009644C5">
      <w:pPr>
        <w:pStyle w:val="Heading1"/>
        <w:numPr>
          <w:ilvl w:val="0"/>
          <w:numId w:val="0"/>
        </w:numPr>
        <w:spacing w:before="0" w:after="0" w:line="360" w:lineRule="auto"/>
        <w:ind w:left="360" w:hanging="360"/>
        <w:rPr>
          <w:sz w:val="24"/>
          <w:szCs w:val="24"/>
          <w:lang w:val="id-ID"/>
        </w:rPr>
      </w:pPr>
      <w:r w:rsidRPr="009D3C6B">
        <w:rPr>
          <w:sz w:val="24"/>
          <w:szCs w:val="24"/>
          <w:lang w:val="id-ID"/>
        </w:rPr>
        <w:t xml:space="preserve">D. </w:t>
      </w:r>
      <w:r w:rsidR="009644C5" w:rsidRPr="009D3C6B">
        <w:rPr>
          <w:sz w:val="24"/>
          <w:szCs w:val="24"/>
        </w:rPr>
        <w:t xml:space="preserve">HASIL DAN </w:t>
      </w:r>
      <w:r w:rsidR="009644C5" w:rsidRPr="009D3C6B">
        <w:rPr>
          <w:sz w:val="24"/>
          <w:szCs w:val="24"/>
          <w:lang w:val="id-ID"/>
        </w:rPr>
        <w:t>PEMBAHASAN</w:t>
      </w:r>
      <w:r w:rsidR="00660829" w:rsidRPr="009D3C6B">
        <w:rPr>
          <w:sz w:val="24"/>
          <w:szCs w:val="24"/>
        </w:rPr>
        <w:t xml:space="preserve"> </w:t>
      </w:r>
    </w:p>
    <w:p w14:paraId="6B917CB0" w14:textId="1480EDE5" w:rsidR="00136C97" w:rsidRPr="009D3C6B" w:rsidRDefault="00136C97" w:rsidP="00631148">
      <w:pPr>
        <w:pStyle w:val="NoSpacing"/>
        <w:spacing w:line="360" w:lineRule="auto"/>
        <w:ind w:left="709" w:hanging="425"/>
        <w:jc w:val="both"/>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t xml:space="preserve">1. </w:t>
      </w:r>
      <w:r w:rsidR="00B4308A" w:rsidRPr="009D3C6B">
        <w:rPr>
          <w:rFonts w:ascii="Times New Roman" w:hAnsi="Times New Roman" w:cs="Times New Roman"/>
          <w:b/>
          <w:color w:val="000000"/>
          <w:sz w:val="24"/>
          <w:szCs w:val="24"/>
          <w:lang w:val="id-ID"/>
        </w:rPr>
        <w:t xml:space="preserve">Studi </w:t>
      </w:r>
      <w:r w:rsidR="000F6608" w:rsidRPr="009D3C6B">
        <w:rPr>
          <w:rFonts w:ascii="Times New Roman" w:hAnsi="Times New Roman" w:cs="Times New Roman"/>
          <w:b/>
          <w:color w:val="000000"/>
          <w:sz w:val="24"/>
          <w:szCs w:val="24"/>
          <w:lang w:val="id-ID"/>
        </w:rPr>
        <w:t xml:space="preserve">Komparasi  </w:t>
      </w:r>
      <w:r w:rsidRPr="009D3C6B">
        <w:rPr>
          <w:rFonts w:ascii="Times New Roman" w:hAnsi="Times New Roman" w:cs="Times New Roman"/>
          <w:b/>
          <w:color w:val="000000"/>
          <w:sz w:val="24"/>
          <w:szCs w:val="24"/>
          <w:lang w:val="id-ID"/>
        </w:rPr>
        <w:t>Ketimpangan  Pembangunan  Ekonom</w:t>
      </w:r>
      <w:r w:rsidR="000F6608" w:rsidRPr="009D3C6B">
        <w:rPr>
          <w:rFonts w:ascii="Times New Roman" w:hAnsi="Times New Roman" w:cs="Times New Roman"/>
          <w:b/>
          <w:color w:val="000000"/>
          <w:sz w:val="24"/>
          <w:szCs w:val="24"/>
          <w:lang w:val="id-ID"/>
        </w:rPr>
        <w:t xml:space="preserve">i </w:t>
      </w:r>
      <w:r w:rsidRPr="009D3C6B">
        <w:rPr>
          <w:rFonts w:ascii="Times New Roman" w:hAnsi="Times New Roman" w:cs="Times New Roman"/>
          <w:b/>
          <w:color w:val="000000"/>
          <w:sz w:val="24"/>
          <w:szCs w:val="24"/>
          <w:lang w:val="id-ID"/>
        </w:rPr>
        <w:t xml:space="preserve"> </w:t>
      </w:r>
      <w:r w:rsidR="00B4308A" w:rsidRPr="009D3C6B">
        <w:rPr>
          <w:rFonts w:ascii="Times New Roman" w:hAnsi="Times New Roman" w:cs="Times New Roman"/>
          <w:b/>
          <w:color w:val="000000"/>
          <w:sz w:val="24"/>
          <w:szCs w:val="24"/>
          <w:lang w:val="id-ID"/>
        </w:rPr>
        <w:t xml:space="preserve"> Ketimpangan Pendapatan </w:t>
      </w:r>
      <w:r w:rsidR="00B73DE8" w:rsidRPr="009D3C6B">
        <w:rPr>
          <w:rFonts w:ascii="Times New Roman" w:hAnsi="Times New Roman" w:cs="Times New Roman"/>
          <w:b/>
          <w:color w:val="000000"/>
          <w:sz w:val="24"/>
          <w:szCs w:val="24"/>
          <w:lang w:val="id-ID"/>
        </w:rPr>
        <w:t xml:space="preserve">Antar  Kabupaten Kota </w:t>
      </w:r>
      <w:r w:rsidRPr="009D3C6B">
        <w:rPr>
          <w:rFonts w:ascii="Times New Roman" w:hAnsi="Times New Roman" w:cs="Times New Roman"/>
          <w:b/>
          <w:color w:val="000000"/>
          <w:sz w:val="24"/>
          <w:szCs w:val="24"/>
          <w:lang w:val="id-ID"/>
        </w:rPr>
        <w:t xml:space="preserve"> Propinsi  NTT  periode 2013-2018 :</w:t>
      </w:r>
    </w:p>
    <w:p w14:paraId="5796661F" w14:textId="50997325" w:rsidR="000F6608" w:rsidRPr="009D3C6B" w:rsidRDefault="00314E97" w:rsidP="00314E97">
      <w:pPr>
        <w:autoSpaceDE w:val="0"/>
        <w:autoSpaceDN w:val="0"/>
        <w:adjustRightInd w:val="0"/>
        <w:spacing w:line="360" w:lineRule="auto"/>
        <w:ind w:left="426" w:firstLine="992"/>
        <w:jc w:val="both"/>
        <w:rPr>
          <w:color w:val="000000"/>
          <w:lang w:val="id-ID"/>
        </w:rPr>
      </w:pPr>
      <w:r w:rsidRPr="009D3C6B">
        <w:rPr>
          <w:color w:val="000000"/>
          <w:lang w:val="id-ID"/>
        </w:rPr>
        <w:t>Untuk melihat perkembangan PDRB per kapita antar kabupaten/kota  Provinsi  Nusa  Tenggara Timur pada tahun  2013 – 2018,  peneliti  menggunakan   alat analisis indeks Williamson.</w:t>
      </w:r>
      <w:r w:rsidR="000F6608" w:rsidRPr="009D3C6B">
        <w:rPr>
          <w:color w:val="000000"/>
          <w:lang w:val="id-ID"/>
        </w:rPr>
        <w:t xml:space="preserve"> dan  Indeks  entropi Theil.</w:t>
      </w:r>
      <w:r w:rsidR="00A335D6" w:rsidRPr="009D3C6B">
        <w:rPr>
          <w:color w:val="000000"/>
          <w:lang w:val="id-ID"/>
        </w:rPr>
        <w:t xml:space="preserve">  Adapun  Hasil  </w:t>
      </w:r>
      <w:r w:rsidR="00A335D6" w:rsidRPr="009D3C6B">
        <w:rPr>
          <w:color w:val="000000"/>
          <w:lang w:val="id-ID"/>
        </w:rPr>
        <w:lastRenderedPageBreak/>
        <w:t>perhitungan   berdsrkan  kedua  alat  analisis  tersenut  dapat  dilihat pada  tabel  berikut :</w:t>
      </w:r>
    </w:p>
    <w:p w14:paraId="2F141B64" w14:textId="2EAF2B55" w:rsidR="00A335D6" w:rsidRPr="009D3C6B" w:rsidRDefault="00A335D6" w:rsidP="00A335D6">
      <w:pPr>
        <w:autoSpaceDE w:val="0"/>
        <w:autoSpaceDN w:val="0"/>
        <w:adjustRightInd w:val="0"/>
        <w:jc w:val="center"/>
        <w:rPr>
          <w:b/>
          <w:color w:val="000000"/>
          <w:lang w:val="id-ID" w:eastAsia="id-ID"/>
        </w:rPr>
      </w:pPr>
      <w:r w:rsidRPr="009D3C6B">
        <w:rPr>
          <w:b/>
          <w:color w:val="000000"/>
          <w:lang w:val="id-ID"/>
        </w:rPr>
        <w:t xml:space="preserve">Tabel 1.   </w:t>
      </w:r>
      <w:r w:rsidR="00B4308A" w:rsidRPr="009D3C6B">
        <w:rPr>
          <w:b/>
          <w:color w:val="000000"/>
          <w:lang w:val="id-ID"/>
        </w:rPr>
        <w:t xml:space="preserve">Hasil  Perhitungan  Indeks Williamson Dan  Indeks Entropi Theil </w:t>
      </w:r>
      <w:r w:rsidRPr="009D3C6B">
        <w:rPr>
          <w:b/>
          <w:color w:val="000000"/>
          <w:lang w:val="id-ID" w:eastAsia="id-ID"/>
        </w:rPr>
        <w:t xml:space="preserve">  Kabupaten </w:t>
      </w:r>
      <w:r w:rsidR="00E65387" w:rsidRPr="009D3C6B">
        <w:rPr>
          <w:b/>
          <w:color w:val="000000"/>
          <w:lang w:val="id-ID" w:eastAsia="id-ID"/>
        </w:rPr>
        <w:t>/</w:t>
      </w:r>
      <w:r w:rsidRPr="009D3C6B">
        <w:rPr>
          <w:b/>
          <w:color w:val="000000"/>
          <w:lang w:val="id-ID" w:eastAsia="id-ID"/>
        </w:rPr>
        <w:t xml:space="preserve"> kota   Popinsi Nusa Tenggara   Timur  Periode  2013-2018</w:t>
      </w:r>
    </w:p>
    <w:p w14:paraId="1EDA136F" w14:textId="77777777" w:rsidR="00822472" w:rsidRPr="009D3C6B" w:rsidRDefault="00822472" w:rsidP="00A335D6">
      <w:pPr>
        <w:autoSpaceDE w:val="0"/>
        <w:autoSpaceDN w:val="0"/>
        <w:adjustRightInd w:val="0"/>
        <w:jc w:val="center"/>
        <w:rPr>
          <w:b/>
          <w:color w:val="000000"/>
          <w:lang w:val="id-ID" w:eastAsia="id-ID"/>
        </w:rPr>
      </w:pPr>
    </w:p>
    <w:tbl>
      <w:tblPr>
        <w:tblW w:w="6662" w:type="dxa"/>
        <w:tblInd w:w="1101" w:type="dxa"/>
        <w:tblLook w:val="04A0" w:firstRow="1" w:lastRow="0" w:firstColumn="1" w:lastColumn="0" w:noHBand="0" w:noVBand="1"/>
      </w:tblPr>
      <w:tblGrid>
        <w:gridCol w:w="567"/>
        <w:gridCol w:w="2260"/>
        <w:gridCol w:w="1850"/>
        <w:gridCol w:w="1985"/>
      </w:tblGrid>
      <w:tr w:rsidR="00822472" w:rsidRPr="00822472" w14:paraId="2788B311" w14:textId="77777777" w:rsidTr="00B4308A">
        <w:trPr>
          <w:trHeight w:val="315"/>
        </w:trPr>
        <w:tc>
          <w:tcPr>
            <w:tcW w:w="56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210E251" w14:textId="77777777" w:rsidR="00822472" w:rsidRPr="00822472" w:rsidRDefault="00822472" w:rsidP="00822472">
            <w:pPr>
              <w:jc w:val="center"/>
              <w:rPr>
                <w:color w:val="000000"/>
                <w:lang w:val="id-ID" w:eastAsia="id-ID"/>
              </w:rPr>
            </w:pPr>
            <w:r w:rsidRPr="00822472">
              <w:rPr>
                <w:color w:val="000000"/>
                <w:lang w:val="id-ID" w:eastAsia="id-ID"/>
              </w:rPr>
              <w:t>No</w:t>
            </w:r>
          </w:p>
        </w:tc>
        <w:tc>
          <w:tcPr>
            <w:tcW w:w="2260" w:type="dxa"/>
            <w:tcBorders>
              <w:top w:val="single" w:sz="8" w:space="0" w:color="auto"/>
              <w:left w:val="nil"/>
              <w:bottom w:val="single" w:sz="8" w:space="0" w:color="auto"/>
              <w:right w:val="nil"/>
            </w:tcBorders>
            <w:shd w:val="clear" w:color="auto" w:fill="auto"/>
            <w:noWrap/>
            <w:vAlign w:val="center"/>
            <w:hideMark/>
          </w:tcPr>
          <w:p w14:paraId="5CC6F7CB" w14:textId="2F284A23" w:rsidR="00822472" w:rsidRPr="00822472" w:rsidRDefault="00822472" w:rsidP="00822472">
            <w:pPr>
              <w:jc w:val="center"/>
              <w:rPr>
                <w:b/>
                <w:bCs/>
                <w:color w:val="000000"/>
                <w:lang w:val="id-ID" w:eastAsia="id-ID"/>
              </w:rPr>
            </w:pPr>
            <w:r w:rsidRPr="00822472">
              <w:rPr>
                <w:b/>
                <w:bCs/>
                <w:color w:val="000000"/>
                <w:lang w:val="id-ID" w:eastAsia="id-ID"/>
              </w:rPr>
              <w:t>Kabupaten/kota</w:t>
            </w:r>
          </w:p>
        </w:tc>
        <w:tc>
          <w:tcPr>
            <w:tcW w:w="1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1D13B1" w14:textId="37B0FF20" w:rsidR="00822472" w:rsidRPr="00822472" w:rsidRDefault="00822472" w:rsidP="00822472">
            <w:pPr>
              <w:jc w:val="center"/>
              <w:rPr>
                <w:b/>
                <w:bCs/>
                <w:color w:val="000000"/>
                <w:lang w:val="id-ID" w:eastAsia="id-ID"/>
              </w:rPr>
            </w:pPr>
            <w:r w:rsidRPr="009D3C6B">
              <w:rPr>
                <w:b/>
                <w:bCs/>
                <w:color w:val="000000"/>
                <w:lang w:val="id-ID" w:eastAsia="id-ID"/>
              </w:rPr>
              <w:t>Indeks Williamson</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6E896230" w14:textId="77777777" w:rsidR="00822472" w:rsidRPr="00822472" w:rsidRDefault="00822472" w:rsidP="00822472">
            <w:pPr>
              <w:jc w:val="center"/>
              <w:rPr>
                <w:b/>
                <w:bCs/>
                <w:color w:val="000000"/>
                <w:lang w:val="id-ID" w:eastAsia="id-ID"/>
              </w:rPr>
            </w:pPr>
            <w:r w:rsidRPr="00822472">
              <w:rPr>
                <w:b/>
                <w:bCs/>
                <w:color w:val="000000"/>
                <w:lang w:val="id-ID" w:eastAsia="id-ID"/>
              </w:rPr>
              <w:t>Indeks-Entropi Theil</w:t>
            </w:r>
          </w:p>
        </w:tc>
      </w:tr>
      <w:tr w:rsidR="00822472" w:rsidRPr="00822472" w14:paraId="3DA009E4"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24A4EBE" w14:textId="77777777" w:rsidR="00822472" w:rsidRPr="00822472" w:rsidRDefault="00822472" w:rsidP="00822472">
            <w:pPr>
              <w:jc w:val="center"/>
              <w:rPr>
                <w:color w:val="000000"/>
                <w:lang w:val="id-ID" w:eastAsia="id-ID"/>
              </w:rPr>
            </w:pPr>
            <w:r w:rsidRPr="00822472">
              <w:rPr>
                <w:color w:val="000000"/>
                <w:lang w:val="id-ID" w:eastAsia="id-ID"/>
              </w:rPr>
              <w:t>1</w:t>
            </w:r>
          </w:p>
        </w:tc>
        <w:tc>
          <w:tcPr>
            <w:tcW w:w="2260" w:type="dxa"/>
            <w:tcBorders>
              <w:top w:val="nil"/>
              <w:left w:val="nil"/>
              <w:bottom w:val="single" w:sz="8" w:space="0" w:color="auto"/>
              <w:right w:val="nil"/>
            </w:tcBorders>
            <w:shd w:val="clear" w:color="auto" w:fill="auto"/>
            <w:noWrap/>
            <w:vAlign w:val="center"/>
            <w:hideMark/>
          </w:tcPr>
          <w:p w14:paraId="37BBB860" w14:textId="77777777" w:rsidR="00822472" w:rsidRPr="00822472" w:rsidRDefault="00822472" w:rsidP="00D216B6">
            <w:pPr>
              <w:rPr>
                <w:color w:val="000000"/>
                <w:lang w:val="id-ID" w:eastAsia="id-ID"/>
              </w:rPr>
            </w:pPr>
            <w:r w:rsidRPr="00822472">
              <w:rPr>
                <w:color w:val="000000"/>
                <w:lang w:val="id-ID" w:eastAsia="id-ID"/>
              </w:rPr>
              <w:t>Sumba  Barat</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379CFD30" w14:textId="357D57B3" w:rsidR="00822472" w:rsidRPr="00822472" w:rsidRDefault="00822472" w:rsidP="00822472">
            <w:pPr>
              <w:jc w:val="center"/>
              <w:rPr>
                <w:color w:val="000000"/>
                <w:lang w:val="id-ID" w:eastAsia="id-ID"/>
              </w:rPr>
            </w:pPr>
            <w:r w:rsidRPr="00822472">
              <w:rPr>
                <w:color w:val="000000"/>
                <w:lang w:val="id-ID" w:eastAsia="id-ID"/>
              </w:rPr>
              <w:t>0,03</w:t>
            </w:r>
          </w:p>
        </w:tc>
        <w:tc>
          <w:tcPr>
            <w:tcW w:w="1985" w:type="dxa"/>
            <w:tcBorders>
              <w:top w:val="nil"/>
              <w:left w:val="nil"/>
              <w:bottom w:val="single" w:sz="8" w:space="0" w:color="auto"/>
              <w:right w:val="nil"/>
            </w:tcBorders>
            <w:shd w:val="clear" w:color="auto" w:fill="auto"/>
            <w:noWrap/>
            <w:vAlign w:val="center"/>
            <w:hideMark/>
          </w:tcPr>
          <w:p w14:paraId="1CA9EAC3" w14:textId="77777777" w:rsidR="00822472" w:rsidRPr="00822472" w:rsidRDefault="00822472" w:rsidP="00822472">
            <w:pPr>
              <w:jc w:val="center"/>
              <w:rPr>
                <w:color w:val="000000"/>
                <w:lang w:val="id-ID" w:eastAsia="id-ID"/>
              </w:rPr>
            </w:pPr>
            <w:r w:rsidRPr="00822472">
              <w:rPr>
                <w:color w:val="000000"/>
                <w:lang w:val="id-ID" w:eastAsia="id-ID"/>
              </w:rPr>
              <w:t>62,7</w:t>
            </w:r>
          </w:p>
        </w:tc>
      </w:tr>
      <w:tr w:rsidR="00822472" w:rsidRPr="00822472" w14:paraId="7C7D3FA2"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FA83B82" w14:textId="77777777" w:rsidR="00822472" w:rsidRPr="00822472" w:rsidRDefault="00822472" w:rsidP="00822472">
            <w:pPr>
              <w:jc w:val="center"/>
              <w:rPr>
                <w:color w:val="000000"/>
                <w:lang w:val="id-ID" w:eastAsia="id-ID"/>
              </w:rPr>
            </w:pPr>
            <w:r w:rsidRPr="00822472">
              <w:rPr>
                <w:color w:val="000000"/>
                <w:lang w:val="id-ID" w:eastAsia="id-ID"/>
              </w:rPr>
              <w:t>2</w:t>
            </w:r>
          </w:p>
        </w:tc>
        <w:tc>
          <w:tcPr>
            <w:tcW w:w="2260" w:type="dxa"/>
            <w:tcBorders>
              <w:top w:val="nil"/>
              <w:left w:val="nil"/>
              <w:bottom w:val="single" w:sz="8" w:space="0" w:color="auto"/>
              <w:right w:val="nil"/>
            </w:tcBorders>
            <w:shd w:val="clear" w:color="auto" w:fill="auto"/>
            <w:noWrap/>
            <w:vAlign w:val="center"/>
            <w:hideMark/>
          </w:tcPr>
          <w:p w14:paraId="33FFAF3D" w14:textId="77777777" w:rsidR="00822472" w:rsidRPr="00822472" w:rsidRDefault="00822472" w:rsidP="00D216B6">
            <w:pPr>
              <w:rPr>
                <w:color w:val="000000"/>
                <w:lang w:val="id-ID" w:eastAsia="id-ID"/>
              </w:rPr>
            </w:pPr>
            <w:r w:rsidRPr="00822472">
              <w:rPr>
                <w:color w:val="000000"/>
                <w:lang w:val="id-ID" w:eastAsia="id-ID"/>
              </w:rPr>
              <w:t>Sumba Timur</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72F275CC" w14:textId="49B35023" w:rsidR="00822472" w:rsidRPr="00822472" w:rsidRDefault="00822472" w:rsidP="00822472">
            <w:pPr>
              <w:jc w:val="center"/>
              <w:rPr>
                <w:color w:val="000000"/>
                <w:lang w:val="id-ID" w:eastAsia="id-ID"/>
              </w:rPr>
            </w:pPr>
            <w:r w:rsidRPr="00822472">
              <w:rPr>
                <w:color w:val="000000"/>
                <w:lang w:val="id-ID" w:eastAsia="id-ID"/>
              </w:rPr>
              <w:t>0,15</w:t>
            </w:r>
          </w:p>
        </w:tc>
        <w:tc>
          <w:tcPr>
            <w:tcW w:w="1985" w:type="dxa"/>
            <w:tcBorders>
              <w:top w:val="nil"/>
              <w:left w:val="nil"/>
              <w:bottom w:val="single" w:sz="8" w:space="0" w:color="auto"/>
              <w:right w:val="nil"/>
            </w:tcBorders>
            <w:shd w:val="clear" w:color="auto" w:fill="auto"/>
            <w:noWrap/>
            <w:vAlign w:val="center"/>
            <w:hideMark/>
          </w:tcPr>
          <w:p w14:paraId="5A9E0D9E" w14:textId="77777777" w:rsidR="00822472" w:rsidRPr="00822472" w:rsidRDefault="00822472" w:rsidP="00822472">
            <w:pPr>
              <w:jc w:val="center"/>
              <w:rPr>
                <w:color w:val="000000"/>
                <w:lang w:val="id-ID" w:eastAsia="id-ID"/>
              </w:rPr>
            </w:pPr>
            <w:r w:rsidRPr="00822472">
              <w:rPr>
                <w:color w:val="000000"/>
                <w:lang w:val="id-ID" w:eastAsia="id-ID"/>
              </w:rPr>
              <w:t>178,61</w:t>
            </w:r>
          </w:p>
        </w:tc>
      </w:tr>
      <w:tr w:rsidR="00822472" w:rsidRPr="00822472" w14:paraId="6A078C1D"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BFF36DD" w14:textId="0E0F7C91" w:rsidR="00822472" w:rsidRPr="00822472" w:rsidRDefault="00822472" w:rsidP="00822472">
            <w:pPr>
              <w:jc w:val="center"/>
              <w:rPr>
                <w:color w:val="000000"/>
                <w:lang w:val="id-ID" w:eastAsia="id-ID"/>
              </w:rPr>
            </w:pPr>
            <w:r w:rsidRPr="00822472">
              <w:rPr>
                <w:color w:val="000000"/>
                <w:lang w:val="id-ID" w:eastAsia="id-ID"/>
              </w:rPr>
              <w:t>3</w:t>
            </w:r>
          </w:p>
        </w:tc>
        <w:tc>
          <w:tcPr>
            <w:tcW w:w="2260" w:type="dxa"/>
            <w:tcBorders>
              <w:top w:val="nil"/>
              <w:left w:val="nil"/>
              <w:bottom w:val="single" w:sz="8" w:space="0" w:color="auto"/>
              <w:right w:val="nil"/>
            </w:tcBorders>
            <w:shd w:val="clear" w:color="auto" w:fill="auto"/>
            <w:noWrap/>
            <w:vAlign w:val="center"/>
            <w:hideMark/>
          </w:tcPr>
          <w:p w14:paraId="38E8B6A5" w14:textId="77777777" w:rsidR="00822472" w:rsidRPr="00822472" w:rsidRDefault="00822472" w:rsidP="00D216B6">
            <w:pPr>
              <w:rPr>
                <w:color w:val="000000"/>
                <w:lang w:val="id-ID" w:eastAsia="id-ID"/>
              </w:rPr>
            </w:pPr>
            <w:r w:rsidRPr="00822472">
              <w:rPr>
                <w:color w:val="000000"/>
                <w:lang w:val="id-ID" w:eastAsia="id-ID"/>
              </w:rPr>
              <w:t>Kupang</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52B3A33E" w14:textId="0F66A98A" w:rsidR="00822472" w:rsidRPr="00822472" w:rsidRDefault="00822472" w:rsidP="00822472">
            <w:pPr>
              <w:jc w:val="center"/>
              <w:rPr>
                <w:color w:val="000000"/>
                <w:lang w:val="id-ID" w:eastAsia="id-ID"/>
              </w:rPr>
            </w:pPr>
            <w:r w:rsidRPr="00822472">
              <w:rPr>
                <w:color w:val="000000"/>
                <w:lang w:val="id-ID" w:eastAsia="id-ID"/>
              </w:rPr>
              <w:t>0,06</w:t>
            </w:r>
          </w:p>
        </w:tc>
        <w:tc>
          <w:tcPr>
            <w:tcW w:w="1985" w:type="dxa"/>
            <w:tcBorders>
              <w:top w:val="nil"/>
              <w:left w:val="nil"/>
              <w:bottom w:val="single" w:sz="8" w:space="0" w:color="auto"/>
              <w:right w:val="nil"/>
            </w:tcBorders>
            <w:shd w:val="clear" w:color="auto" w:fill="auto"/>
            <w:noWrap/>
            <w:vAlign w:val="center"/>
            <w:hideMark/>
          </w:tcPr>
          <w:p w14:paraId="508A706B" w14:textId="77777777" w:rsidR="00822472" w:rsidRPr="00822472" w:rsidRDefault="00822472" w:rsidP="00822472">
            <w:pPr>
              <w:jc w:val="center"/>
              <w:rPr>
                <w:color w:val="000000"/>
                <w:lang w:val="id-ID" w:eastAsia="id-ID"/>
              </w:rPr>
            </w:pPr>
            <w:r w:rsidRPr="00822472">
              <w:rPr>
                <w:color w:val="000000"/>
                <w:lang w:val="id-ID" w:eastAsia="id-ID"/>
              </w:rPr>
              <w:t>211,26</w:t>
            </w:r>
          </w:p>
        </w:tc>
      </w:tr>
      <w:tr w:rsidR="00822472" w:rsidRPr="00822472" w14:paraId="20A96FBB"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E972D2C" w14:textId="77777777" w:rsidR="00822472" w:rsidRPr="00822472" w:rsidRDefault="00822472" w:rsidP="00822472">
            <w:pPr>
              <w:jc w:val="center"/>
              <w:rPr>
                <w:color w:val="000000"/>
                <w:lang w:val="id-ID" w:eastAsia="id-ID"/>
              </w:rPr>
            </w:pPr>
            <w:r w:rsidRPr="00822472">
              <w:rPr>
                <w:color w:val="000000"/>
                <w:lang w:val="id-ID" w:eastAsia="id-ID"/>
              </w:rPr>
              <w:t>4</w:t>
            </w:r>
          </w:p>
        </w:tc>
        <w:tc>
          <w:tcPr>
            <w:tcW w:w="2260" w:type="dxa"/>
            <w:tcBorders>
              <w:top w:val="nil"/>
              <w:left w:val="nil"/>
              <w:bottom w:val="single" w:sz="8" w:space="0" w:color="auto"/>
              <w:right w:val="nil"/>
            </w:tcBorders>
            <w:shd w:val="clear" w:color="auto" w:fill="auto"/>
            <w:noWrap/>
            <w:vAlign w:val="center"/>
            <w:hideMark/>
          </w:tcPr>
          <w:p w14:paraId="48ACB565" w14:textId="77777777" w:rsidR="00822472" w:rsidRPr="00822472" w:rsidRDefault="00822472" w:rsidP="00D216B6">
            <w:pPr>
              <w:rPr>
                <w:color w:val="000000"/>
                <w:lang w:val="id-ID" w:eastAsia="id-ID"/>
              </w:rPr>
            </w:pPr>
            <w:r w:rsidRPr="00822472">
              <w:rPr>
                <w:color w:val="000000"/>
                <w:lang w:val="id-ID" w:eastAsia="id-ID"/>
              </w:rPr>
              <w:t>Timor Tengah Selatan</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24B7B750" w14:textId="6340E965" w:rsidR="00822472" w:rsidRPr="00822472" w:rsidRDefault="00822472" w:rsidP="00822472">
            <w:pPr>
              <w:jc w:val="center"/>
              <w:rPr>
                <w:color w:val="000000"/>
                <w:lang w:val="id-ID" w:eastAsia="id-ID"/>
              </w:rPr>
            </w:pPr>
            <w:r w:rsidRPr="00822472">
              <w:rPr>
                <w:color w:val="000000"/>
                <w:lang w:val="id-ID" w:eastAsia="id-ID"/>
              </w:rPr>
              <w:t>0,14</w:t>
            </w:r>
          </w:p>
        </w:tc>
        <w:tc>
          <w:tcPr>
            <w:tcW w:w="1985" w:type="dxa"/>
            <w:tcBorders>
              <w:top w:val="nil"/>
              <w:left w:val="nil"/>
              <w:bottom w:val="single" w:sz="8" w:space="0" w:color="auto"/>
              <w:right w:val="nil"/>
            </w:tcBorders>
            <w:shd w:val="clear" w:color="auto" w:fill="auto"/>
            <w:noWrap/>
            <w:vAlign w:val="center"/>
            <w:hideMark/>
          </w:tcPr>
          <w:p w14:paraId="370046D0" w14:textId="77777777" w:rsidR="00822472" w:rsidRPr="00822472" w:rsidRDefault="00822472" w:rsidP="00822472">
            <w:pPr>
              <w:jc w:val="center"/>
              <w:rPr>
                <w:color w:val="000000"/>
                <w:lang w:val="id-ID" w:eastAsia="id-ID"/>
              </w:rPr>
            </w:pPr>
            <w:r w:rsidRPr="00822472">
              <w:rPr>
                <w:color w:val="000000"/>
                <w:lang w:val="id-ID" w:eastAsia="id-ID"/>
              </w:rPr>
              <w:t>201,11</w:t>
            </w:r>
          </w:p>
        </w:tc>
      </w:tr>
      <w:tr w:rsidR="00822472" w:rsidRPr="00822472" w14:paraId="466AA0F2"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1F302E6E" w14:textId="77777777" w:rsidR="00822472" w:rsidRPr="00822472" w:rsidRDefault="00822472" w:rsidP="00822472">
            <w:pPr>
              <w:jc w:val="center"/>
              <w:rPr>
                <w:color w:val="000000"/>
                <w:lang w:val="id-ID" w:eastAsia="id-ID"/>
              </w:rPr>
            </w:pPr>
            <w:r w:rsidRPr="00822472">
              <w:rPr>
                <w:color w:val="000000"/>
                <w:lang w:val="id-ID" w:eastAsia="id-ID"/>
              </w:rPr>
              <w:t>5</w:t>
            </w:r>
          </w:p>
        </w:tc>
        <w:tc>
          <w:tcPr>
            <w:tcW w:w="2260" w:type="dxa"/>
            <w:tcBorders>
              <w:top w:val="nil"/>
              <w:left w:val="nil"/>
              <w:bottom w:val="single" w:sz="8" w:space="0" w:color="auto"/>
              <w:right w:val="nil"/>
            </w:tcBorders>
            <w:shd w:val="clear" w:color="auto" w:fill="auto"/>
            <w:noWrap/>
            <w:vAlign w:val="center"/>
            <w:hideMark/>
          </w:tcPr>
          <w:p w14:paraId="1671EF1B" w14:textId="77777777" w:rsidR="00822472" w:rsidRPr="00822472" w:rsidRDefault="00822472" w:rsidP="00D216B6">
            <w:pPr>
              <w:rPr>
                <w:color w:val="000000"/>
                <w:lang w:val="id-ID" w:eastAsia="id-ID"/>
              </w:rPr>
            </w:pPr>
            <w:r w:rsidRPr="00822472">
              <w:rPr>
                <w:color w:val="000000"/>
                <w:lang w:val="id-ID" w:eastAsia="id-ID"/>
              </w:rPr>
              <w:t>Timor   Tengah  Utara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2BEE9AAE" w14:textId="4F9B0E74" w:rsidR="00822472" w:rsidRPr="00822472" w:rsidRDefault="00822472" w:rsidP="00822472">
            <w:pPr>
              <w:jc w:val="center"/>
              <w:rPr>
                <w:color w:val="000000"/>
                <w:lang w:val="id-ID" w:eastAsia="id-ID"/>
              </w:rPr>
            </w:pPr>
            <w:r w:rsidRPr="00822472">
              <w:rPr>
                <w:color w:val="000000"/>
                <w:lang w:val="id-ID" w:eastAsia="id-ID"/>
              </w:rPr>
              <w:t>0,04</w:t>
            </w:r>
          </w:p>
        </w:tc>
        <w:tc>
          <w:tcPr>
            <w:tcW w:w="1985" w:type="dxa"/>
            <w:tcBorders>
              <w:top w:val="nil"/>
              <w:left w:val="nil"/>
              <w:bottom w:val="single" w:sz="8" w:space="0" w:color="auto"/>
              <w:right w:val="nil"/>
            </w:tcBorders>
            <w:shd w:val="clear" w:color="auto" w:fill="auto"/>
            <w:noWrap/>
            <w:vAlign w:val="center"/>
            <w:hideMark/>
          </w:tcPr>
          <w:p w14:paraId="7BB0BDB4" w14:textId="77777777" w:rsidR="00822472" w:rsidRPr="00822472" w:rsidRDefault="00822472" w:rsidP="00822472">
            <w:pPr>
              <w:jc w:val="center"/>
              <w:rPr>
                <w:color w:val="000000"/>
                <w:lang w:val="id-ID" w:eastAsia="id-ID"/>
              </w:rPr>
            </w:pPr>
            <w:r w:rsidRPr="00822472">
              <w:rPr>
                <w:color w:val="000000"/>
                <w:lang w:val="id-ID" w:eastAsia="id-ID"/>
              </w:rPr>
              <w:t>125,02</w:t>
            </w:r>
          </w:p>
        </w:tc>
      </w:tr>
      <w:tr w:rsidR="00822472" w:rsidRPr="00822472" w14:paraId="46A33327"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3AD35D1" w14:textId="77777777" w:rsidR="00822472" w:rsidRPr="00822472" w:rsidRDefault="00822472" w:rsidP="00822472">
            <w:pPr>
              <w:jc w:val="center"/>
              <w:rPr>
                <w:color w:val="000000"/>
                <w:lang w:val="id-ID" w:eastAsia="id-ID"/>
              </w:rPr>
            </w:pPr>
            <w:r w:rsidRPr="00822472">
              <w:rPr>
                <w:color w:val="000000"/>
                <w:lang w:val="id-ID" w:eastAsia="id-ID"/>
              </w:rPr>
              <w:t>6</w:t>
            </w:r>
          </w:p>
        </w:tc>
        <w:tc>
          <w:tcPr>
            <w:tcW w:w="2260" w:type="dxa"/>
            <w:tcBorders>
              <w:top w:val="nil"/>
              <w:left w:val="nil"/>
              <w:bottom w:val="single" w:sz="8" w:space="0" w:color="auto"/>
              <w:right w:val="nil"/>
            </w:tcBorders>
            <w:shd w:val="clear" w:color="auto" w:fill="auto"/>
            <w:noWrap/>
            <w:vAlign w:val="center"/>
            <w:hideMark/>
          </w:tcPr>
          <w:p w14:paraId="26F6347F" w14:textId="77777777" w:rsidR="00822472" w:rsidRPr="00822472" w:rsidRDefault="00822472" w:rsidP="00D216B6">
            <w:pPr>
              <w:rPr>
                <w:color w:val="000000"/>
                <w:lang w:val="id-ID" w:eastAsia="id-ID"/>
              </w:rPr>
            </w:pPr>
            <w:r w:rsidRPr="00822472">
              <w:rPr>
                <w:color w:val="000000"/>
                <w:lang w:val="id-ID" w:eastAsia="id-ID"/>
              </w:rPr>
              <w:t>Belu</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4E48AE00" w14:textId="5E5A17F9" w:rsidR="00822472" w:rsidRPr="00822472" w:rsidRDefault="00822472" w:rsidP="00822472">
            <w:pPr>
              <w:jc w:val="center"/>
              <w:rPr>
                <w:color w:val="000000"/>
                <w:lang w:val="id-ID" w:eastAsia="id-ID"/>
              </w:rPr>
            </w:pPr>
            <w:r w:rsidRPr="00822472">
              <w:rPr>
                <w:color w:val="000000"/>
                <w:lang w:val="id-ID" w:eastAsia="id-ID"/>
              </w:rPr>
              <w:t>0,05</w:t>
            </w:r>
          </w:p>
        </w:tc>
        <w:tc>
          <w:tcPr>
            <w:tcW w:w="1985" w:type="dxa"/>
            <w:tcBorders>
              <w:top w:val="nil"/>
              <w:left w:val="nil"/>
              <w:bottom w:val="single" w:sz="8" w:space="0" w:color="auto"/>
              <w:right w:val="nil"/>
            </w:tcBorders>
            <w:shd w:val="clear" w:color="auto" w:fill="auto"/>
            <w:noWrap/>
            <w:vAlign w:val="center"/>
            <w:hideMark/>
          </w:tcPr>
          <w:p w14:paraId="554802E0" w14:textId="77777777" w:rsidR="00822472" w:rsidRPr="00822472" w:rsidRDefault="00822472" w:rsidP="00822472">
            <w:pPr>
              <w:jc w:val="center"/>
              <w:rPr>
                <w:color w:val="000000"/>
                <w:lang w:val="id-ID" w:eastAsia="id-ID"/>
              </w:rPr>
            </w:pPr>
            <w:r w:rsidRPr="00822472">
              <w:rPr>
                <w:color w:val="000000"/>
                <w:lang w:val="id-ID" w:eastAsia="id-ID"/>
              </w:rPr>
              <w:t>128,02</w:t>
            </w:r>
          </w:p>
        </w:tc>
      </w:tr>
      <w:tr w:rsidR="00822472" w:rsidRPr="00822472" w14:paraId="5CAED369"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DEE2898" w14:textId="77777777" w:rsidR="00822472" w:rsidRPr="00822472" w:rsidRDefault="00822472" w:rsidP="00822472">
            <w:pPr>
              <w:jc w:val="center"/>
              <w:rPr>
                <w:color w:val="000000"/>
                <w:lang w:val="id-ID" w:eastAsia="id-ID"/>
              </w:rPr>
            </w:pPr>
            <w:r w:rsidRPr="00822472">
              <w:rPr>
                <w:color w:val="000000"/>
                <w:lang w:val="id-ID" w:eastAsia="id-ID"/>
              </w:rPr>
              <w:t>7</w:t>
            </w:r>
          </w:p>
        </w:tc>
        <w:tc>
          <w:tcPr>
            <w:tcW w:w="2260" w:type="dxa"/>
            <w:tcBorders>
              <w:top w:val="nil"/>
              <w:left w:val="nil"/>
              <w:bottom w:val="single" w:sz="8" w:space="0" w:color="auto"/>
              <w:right w:val="nil"/>
            </w:tcBorders>
            <w:shd w:val="clear" w:color="auto" w:fill="auto"/>
            <w:noWrap/>
            <w:vAlign w:val="center"/>
            <w:hideMark/>
          </w:tcPr>
          <w:p w14:paraId="34984FB9" w14:textId="57E7A3B5" w:rsidR="00822472" w:rsidRPr="00822472" w:rsidRDefault="00D216B6" w:rsidP="00D216B6">
            <w:pPr>
              <w:rPr>
                <w:color w:val="000000"/>
                <w:lang w:val="id-ID" w:eastAsia="id-ID"/>
              </w:rPr>
            </w:pPr>
            <w:r w:rsidRPr="009D3C6B">
              <w:rPr>
                <w:color w:val="000000"/>
                <w:lang w:val="id-ID" w:eastAsia="id-ID"/>
              </w:rPr>
              <w:t>A</w:t>
            </w:r>
            <w:r w:rsidR="00822472" w:rsidRPr="00822472">
              <w:rPr>
                <w:color w:val="000000"/>
                <w:lang w:val="id-ID" w:eastAsia="id-ID"/>
              </w:rPr>
              <w:t>lor</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52373377" w14:textId="33AB5396" w:rsidR="00822472" w:rsidRPr="00822472" w:rsidRDefault="00822472" w:rsidP="00822472">
            <w:pPr>
              <w:jc w:val="center"/>
              <w:rPr>
                <w:color w:val="000000"/>
                <w:lang w:val="id-ID" w:eastAsia="id-ID"/>
              </w:rPr>
            </w:pPr>
            <w:r w:rsidRPr="00822472">
              <w:rPr>
                <w:color w:val="000000"/>
                <w:lang w:val="id-ID" w:eastAsia="id-ID"/>
              </w:rPr>
              <w:t>0,11</w:t>
            </w:r>
          </w:p>
        </w:tc>
        <w:tc>
          <w:tcPr>
            <w:tcW w:w="1985" w:type="dxa"/>
            <w:tcBorders>
              <w:top w:val="nil"/>
              <w:left w:val="nil"/>
              <w:bottom w:val="single" w:sz="8" w:space="0" w:color="auto"/>
              <w:right w:val="nil"/>
            </w:tcBorders>
            <w:shd w:val="clear" w:color="auto" w:fill="auto"/>
            <w:noWrap/>
            <w:vAlign w:val="center"/>
            <w:hideMark/>
          </w:tcPr>
          <w:p w14:paraId="2ABE2C1B" w14:textId="77777777" w:rsidR="00822472" w:rsidRPr="00822472" w:rsidRDefault="00822472" w:rsidP="00822472">
            <w:pPr>
              <w:jc w:val="center"/>
              <w:rPr>
                <w:color w:val="000000"/>
                <w:lang w:val="id-ID" w:eastAsia="id-ID"/>
              </w:rPr>
            </w:pPr>
            <w:r w:rsidRPr="00822472">
              <w:rPr>
                <w:color w:val="000000"/>
                <w:lang w:val="id-ID" w:eastAsia="id-ID"/>
              </w:rPr>
              <w:t>84,67</w:t>
            </w:r>
          </w:p>
        </w:tc>
      </w:tr>
      <w:tr w:rsidR="00822472" w:rsidRPr="00822472" w14:paraId="61E71B75"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39F1478D" w14:textId="77777777" w:rsidR="00822472" w:rsidRPr="00822472" w:rsidRDefault="00822472" w:rsidP="00822472">
            <w:pPr>
              <w:jc w:val="center"/>
              <w:rPr>
                <w:color w:val="000000"/>
                <w:lang w:val="id-ID" w:eastAsia="id-ID"/>
              </w:rPr>
            </w:pPr>
            <w:r w:rsidRPr="00822472">
              <w:rPr>
                <w:color w:val="000000"/>
                <w:lang w:val="id-ID" w:eastAsia="id-ID"/>
              </w:rPr>
              <w:t>8</w:t>
            </w:r>
          </w:p>
        </w:tc>
        <w:tc>
          <w:tcPr>
            <w:tcW w:w="2260" w:type="dxa"/>
            <w:tcBorders>
              <w:top w:val="nil"/>
              <w:left w:val="nil"/>
              <w:bottom w:val="single" w:sz="8" w:space="0" w:color="auto"/>
              <w:right w:val="nil"/>
            </w:tcBorders>
            <w:shd w:val="clear" w:color="auto" w:fill="auto"/>
            <w:noWrap/>
            <w:vAlign w:val="center"/>
            <w:hideMark/>
          </w:tcPr>
          <w:p w14:paraId="7852AEFB" w14:textId="77777777" w:rsidR="00822472" w:rsidRPr="00822472" w:rsidRDefault="00822472" w:rsidP="00D216B6">
            <w:pPr>
              <w:rPr>
                <w:color w:val="000000"/>
                <w:lang w:val="id-ID" w:eastAsia="id-ID"/>
              </w:rPr>
            </w:pPr>
            <w:r w:rsidRPr="00822472">
              <w:rPr>
                <w:color w:val="000000"/>
                <w:lang w:val="id-ID" w:eastAsia="id-ID"/>
              </w:rPr>
              <w:t>Lembata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170FCD52" w14:textId="2F800592" w:rsidR="00822472" w:rsidRPr="00822472" w:rsidRDefault="00822472" w:rsidP="00822472">
            <w:pPr>
              <w:jc w:val="center"/>
              <w:rPr>
                <w:color w:val="000000"/>
                <w:lang w:val="id-ID" w:eastAsia="id-ID"/>
              </w:rPr>
            </w:pPr>
            <w:r w:rsidRPr="00822472">
              <w:rPr>
                <w:color w:val="000000"/>
                <w:lang w:val="id-ID" w:eastAsia="id-ID"/>
              </w:rPr>
              <w:t>0,12</w:t>
            </w:r>
          </w:p>
        </w:tc>
        <w:tc>
          <w:tcPr>
            <w:tcW w:w="1985" w:type="dxa"/>
            <w:tcBorders>
              <w:top w:val="nil"/>
              <w:left w:val="nil"/>
              <w:bottom w:val="single" w:sz="8" w:space="0" w:color="auto"/>
              <w:right w:val="nil"/>
            </w:tcBorders>
            <w:shd w:val="clear" w:color="auto" w:fill="auto"/>
            <w:noWrap/>
            <w:vAlign w:val="center"/>
            <w:hideMark/>
          </w:tcPr>
          <w:p w14:paraId="5444791C" w14:textId="77777777" w:rsidR="00822472" w:rsidRPr="00822472" w:rsidRDefault="00822472" w:rsidP="00822472">
            <w:pPr>
              <w:jc w:val="center"/>
              <w:rPr>
                <w:color w:val="000000"/>
                <w:lang w:val="id-ID" w:eastAsia="id-ID"/>
              </w:rPr>
            </w:pPr>
            <w:r w:rsidRPr="00822472">
              <w:rPr>
                <w:color w:val="000000"/>
                <w:lang w:val="id-ID" w:eastAsia="id-ID"/>
              </w:rPr>
              <w:t>48,87</w:t>
            </w:r>
          </w:p>
        </w:tc>
      </w:tr>
      <w:tr w:rsidR="00822472" w:rsidRPr="00822472" w14:paraId="6D025AC1"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A15541B" w14:textId="77777777" w:rsidR="00822472" w:rsidRPr="00822472" w:rsidRDefault="00822472" w:rsidP="00822472">
            <w:pPr>
              <w:jc w:val="center"/>
              <w:rPr>
                <w:color w:val="000000"/>
                <w:lang w:val="id-ID" w:eastAsia="id-ID"/>
              </w:rPr>
            </w:pPr>
            <w:r w:rsidRPr="00822472">
              <w:rPr>
                <w:color w:val="000000"/>
                <w:lang w:val="id-ID" w:eastAsia="id-ID"/>
              </w:rPr>
              <w:t>9</w:t>
            </w:r>
          </w:p>
        </w:tc>
        <w:tc>
          <w:tcPr>
            <w:tcW w:w="2260" w:type="dxa"/>
            <w:tcBorders>
              <w:top w:val="nil"/>
              <w:left w:val="nil"/>
              <w:bottom w:val="single" w:sz="8" w:space="0" w:color="auto"/>
              <w:right w:val="nil"/>
            </w:tcBorders>
            <w:shd w:val="clear" w:color="auto" w:fill="auto"/>
            <w:noWrap/>
            <w:vAlign w:val="center"/>
            <w:hideMark/>
          </w:tcPr>
          <w:p w14:paraId="1F4892A3" w14:textId="77777777" w:rsidR="00822472" w:rsidRPr="00822472" w:rsidRDefault="00822472" w:rsidP="00D216B6">
            <w:pPr>
              <w:rPr>
                <w:color w:val="000000"/>
                <w:lang w:val="id-ID" w:eastAsia="id-ID"/>
              </w:rPr>
            </w:pPr>
            <w:r w:rsidRPr="00822472">
              <w:rPr>
                <w:color w:val="000000"/>
                <w:lang w:val="id-ID" w:eastAsia="id-ID"/>
              </w:rPr>
              <w:t>Flores Timur</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3E2E303C" w14:textId="26979FB1" w:rsidR="00822472" w:rsidRPr="00822472" w:rsidRDefault="00822472" w:rsidP="00822472">
            <w:pPr>
              <w:jc w:val="center"/>
              <w:rPr>
                <w:color w:val="000000"/>
                <w:lang w:val="id-ID" w:eastAsia="id-ID"/>
              </w:rPr>
            </w:pPr>
            <w:r w:rsidRPr="00822472">
              <w:rPr>
                <w:color w:val="000000"/>
                <w:lang w:val="id-ID" w:eastAsia="id-ID"/>
              </w:rPr>
              <w:t>0,07</w:t>
            </w:r>
          </w:p>
        </w:tc>
        <w:tc>
          <w:tcPr>
            <w:tcW w:w="1985" w:type="dxa"/>
            <w:tcBorders>
              <w:top w:val="nil"/>
              <w:left w:val="nil"/>
              <w:bottom w:val="single" w:sz="8" w:space="0" w:color="auto"/>
              <w:right w:val="nil"/>
            </w:tcBorders>
            <w:shd w:val="clear" w:color="auto" w:fill="auto"/>
            <w:noWrap/>
            <w:vAlign w:val="center"/>
            <w:hideMark/>
          </w:tcPr>
          <w:p w14:paraId="0CFD5068" w14:textId="77777777" w:rsidR="00822472" w:rsidRPr="00822472" w:rsidRDefault="00822472" w:rsidP="00822472">
            <w:pPr>
              <w:jc w:val="center"/>
              <w:rPr>
                <w:color w:val="000000"/>
                <w:lang w:val="id-ID" w:eastAsia="id-ID"/>
              </w:rPr>
            </w:pPr>
            <w:r w:rsidRPr="00822472">
              <w:rPr>
                <w:color w:val="000000"/>
                <w:lang w:val="id-ID" w:eastAsia="id-ID"/>
              </w:rPr>
              <w:t>156,57</w:t>
            </w:r>
          </w:p>
        </w:tc>
      </w:tr>
      <w:tr w:rsidR="00822472" w:rsidRPr="00822472" w14:paraId="16EE493D"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E608811" w14:textId="77777777" w:rsidR="00822472" w:rsidRPr="00822472" w:rsidRDefault="00822472" w:rsidP="00822472">
            <w:pPr>
              <w:jc w:val="center"/>
              <w:rPr>
                <w:color w:val="000000"/>
                <w:lang w:val="id-ID" w:eastAsia="id-ID"/>
              </w:rPr>
            </w:pPr>
            <w:r w:rsidRPr="00822472">
              <w:rPr>
                <w:color w:val="000000"/>
                <w:lang w:val="id-ID" w:eastAsia="id-ID"/>
              </w:rPr>
              <w:t>10</w:t>
            </w:r>
          </w:p>
        </w:tc>
        <w:tc>
          <w:tcPr>
            <w:tcW w:w="2260" w:type="dxa"/>
            <w:tcBorders>
              <w:top w:val="nil"/>
              <w:left w:val="nil"/>
              <w:bottom w:val="single" w:sz="8" w:space="0" w:color="auto"/>
              <w:right w:val="nil"/>
            </w:tcBorders>
            <w:shd w:val="clear" w:color="auto" w:fill="auto"/>
            <w:noWrap/>
            <w:vAlign w:val="center"/>
            <w:hideMark/>
          </w:tcPr>
          <w:p w14:paraId="2850A182" w14:textId="77777777" w:rsidR="00822472" w:rsidRPr="00822472" w:rsidRDefault="00822472" w:rsidP="00D216B6">
            <w:pPr>
              <w:rPr>
                <w:color w:val="000000"/>
                <w:lang w:val="id-ID" w:eastAsia="id-ID"/>
              </w:rPr>
            </w:pPr>
            <w:r w:rsidRPr="00822472">
              <w:rPr>
                <w:color w:val="000000"/>
                <w:lang w:val="id-ID" w:eastAsia="id-ID"/>
              </w:rPr>
              <w:t>Sikka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3850CDF2" w14:textId="2B2C5A80" w:rsidR="00822472" w:rsidRPr="00822472" w:rsidRDefault="00822472" w:rsidP="00822472">
            <w:pPr>
              <w:jc w:val="center"/>
              <w:rPr>
                <w:color w:val="000000"/>
                <w:lang w:val="id-ID" w:eastAsia="id-ID"/>
              </w:rPr>
            </w:pPr>
            <w:r w:rsidRPr="00822472">
              <w:rPr>
                <w:color w:val="000000"/>
                <w:lang w:val="id-ID" w:eastAsia="id-ID"/>
              </w:rPr>
              <w:t>0,11</w:t>
            </w:r>
          </w:p>
        </w:tc>
        <w:tc>
          <w:tcPr>
            <w:tcW w:w="1985" w:type="dxa"/>
            <w:tcBorders>
              <w:top w:val="nil"/>
              <w:left w:val="nil"/>
              <w:bottom w:val="single" w:sz="8" w:space="0" w:color="auto"/>
              <w:right w:val="nil"/>
            </w:tcBorders>
            <w:shd w:val="clear" w:color="auto" w:fill="auto"/>
            <w:noWrap/>
            <w:vAlign w:val="center"/>
            <w:hideMark/>
          </w:tcPr>
          <w:p w14:paraId="0EF98EF7" w14:textId="77777777" w:rsidR="00822472" w:rsidRPr="00822472" w:rsidRDefault="00822472" w:rsidP="00822472">
            <w:pPr>
              <w:jc w:val="center"/>
              <w:rPr>
                <w:color w:val="000000"/>
                <w:lang w:val="id-ID" w:eastAsia="id-ID"/>
              </w:rPr>
            </w:pPr>
            <w:r w:rsidRPr="00822472">
              <w:rPr>
                <w:color w:val="000000"/>
                <w:lang w:val="id-ID" w:eastAsia="id-ID"/>
              </w:rPr>
              <w:t>140,43</w:t>
            </w:r>
          </w:p>
        </w:tc>
      </w:tr>
      <w:tr w:rsidR="00822472" w:rsidRPr="00822472" w14:paraId="0A868109"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E7C62C8" w14:textId="77777777" w:rsidR="00822472" w:rsidRPr="00822472" w:rsidRDefault="00822472" w:rsidP="00822472">
            <w:pPr>
              <w:jc w:val="center"/>
              <w:rPr>
                <w:color w:val="000000"/>
                <w:lang w:val="id-ID" w:eastAsia="id-ID"/>
              </w:rPr>
            </w:pPr>
            <w:r w:rsidRPr="00822472">
              <w:rPr>
                <w:color w:val="000000"/>
                <w:lang w:val="id-ID" w:eastAsia="id-ID"/>
              </w:rPr>
              <w:t>11</w:t>
            </w:r>
          </w:p>
        </w:tc>
        <w:tc>
          <w:tcPr>
            <w:tcW w:w="2260" w:type="dxa"/>
            <w:tcBorders>
              <w:top w:val="nil"/>
              <w:left w:val="nil"/>
              <w:bottom w:val="single" w:sz="8" w:space="0" w:color="auto"/>
              <w:right w:val="nil"/>
            </w:tcBorders>
            <w:shd w:val="clear" w:color="auto" w:fill="auto"/>
            <w:noWrap/>
            <w:vAlign w:val="center"/>
            <w:hideMark/>
          </w:tcPr>
          <w:p w14:paraId="14E66049" w14:textId="77777777" w:rsidR="00822472" w:rsidRPr="00822472" w:rsidRDefault="00822472" w:rsidP="00D216B6">
            <w:pPr>
              <w:rPr>
                <w:color w:val="000000"/>
                <w:lang w:val="id-ID" w:eastAsia="id-ID"/>
              </w:rPr>
            </w:pPr>
            <w:r w:rsidRPr="00822472">
              <w:rPr>
                <w:color w:val="000000"/>
                <w:lang w:val="id-ID" w:eastAsia="id-ID"/>
              </w:rPr>
              <w:t>Ende</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65088AE3" w14:textId="7C57A525" w:rsidR="00822472" w:rsidRPr="00822472" w:rsidRDefault="00822472" w:rsidP="00822472">
            <w:pPr>
              <w:jc w:val="center"/>
              <w:rPr>
                <w:color w:val="000000"/>
                <w:lang w:val="id-ID" w:eastAsia="id-ID"/>
              </w:rPr>
            </w:pPr>
            <w:r w:rsidRPr="00822472">
              <w:rPr>
                <w:color w:val="000000"/>
                <w:lang w:val="id-ID" w:eastAsia="id-ID"/>
              </w:rPr>
              <w:t>0,11</w:t>
            </w:r>
          </w:p>
        </w:tc>
        <w:tc>
          <w:tcPr>
            <w:tcW w:w="1985" w:type="dxa"/>
            <w:tcBorders>
              <w:top w:val="nil"/>
              <w:left w:val="nil"/>
              <w:bottom w:val="single" w:sz="8" w:space="0" w:color="auto"/>
              <w:right w:val="nil"/>
            </w:tcBorders>
            <w:shd w:val="clear" w:color="auto" w:fill="auto"/>
            <w:noWrap/>
            <w:vAlign w:val="center"/>
            <w:hideMark/>
          </w:tcPr>
          <w:p w14:paraId="13C5136A" w14:textId="77777777" w:rsidR="00822472" w:rsidRPr="00822472" w:rsidRDefault="00822472" w:rsidP="00822472">
            <w:pPr>
              <w:jc w:val="center"/>
              <w:rPr>
                <w:color w:val="000000"/>
                <w:lang w:val="id-ID" w:eastAsia="id-ID"/>
              </w:rPr>
            </w:pPr>
            <w:r w:rsidRPr="00822472">
              <w:rPr>
                <w:color w:val="000000"/>
                <w:lang w:val="id-ID" w:eastAsia="id-ID"/>
              </w:rPr>
              <w:t>183,75</w:t>
            </w:r>
          </w:p>
        </w:tc>
      </w:tr>
      <w:tr w:rsidR="00822472" w:rsidRPr="00822472" w14:paraId="1480D741"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510DA3C" w14:textId="77777777" w:rsidR="00822472" w:rsidRPr="00822472" w:rsidRDefault="00822472" w:rsidP="00822472">
            <w:pPr>
              <w:jc w:val="center"/>
              <w:rPr>
                <w:color w:val="000000"/>
                <w:lang w:val="id-ID" w:eastAsia="id-ID"/>
              </w:rPr>
            </w:pPr>
            <w:r w:rsidRPr="00822472">
              <w:rPr>
                <w:color w:val="000000"/>
                <w:lang w:val="id-ID" w:eastAsia="id-ID"/>
              </w:rPr>
              <w:t>12</w:t>
            </w:r>
          </w:p>
        </w:tc>
        <w:tc>
          <w:tcPr>
            <w:tcW w:w="2260" w:type="dxa"/>
            <w:tcBorders>
              <w:top w:val="nil"/>
              <w:left w:val="nil"/>
              <w:bottom w:val="single" w:sz="8" w:space="0" w:color="auto"/>
              <w:right w:val="nil"/>
            </w:tcBorders>
            <w:shd w:val="clear" w:color="auto" w:fill="auto"/>
            <w:noWrap/>
            <w:vAlign w:val="center"/>
            <w:hideMark/>
          </w:tcPr>
          <w:p w14:paraId="529110D4" w14:textId="77777777" w:rsidR="00822472" w:rsidRPr="00822472" w:rsidRDefault="00822472" w:rsidP="00D216B6">
            <w:pPr>
              <w:rPr>
                <w:color w:val="000000"/>
                <w:lang w:val="id-ID" w:eastAsia="id-ID"/>
              </w:rPr>
            </w:pPr>
            <w:r w:rsidRPr="00822472">
              <w:rPr>
                <w:color w:val="000000"/>
                <w:lang w:val="id-ID" w:eastAsia="id-ID"/>
              </w:rPr>
              <w:t>Ngada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223F7779" w14:textId="1EAA7FC8" w:rsidR="00822472" w:rsidRPr="00822472" w:rsidRDefault="00822472" w:rsidP="00822472">
            <w:pPr>
              <w:jc w:val="center"/>
              <w:rPr>
                <w:color w:val="000000"/>
                <w:lang w:val="id-ID" w:eastAsia="id-ID"/>
              </w:rPr>
            </w:pPr>
            <w:r w:rsidRPr="00822472">
              <w:rPr>
                <w:color w:val="000000"/>
                <w:lang w:val="id-ID" w:eastAsia="id-ID"/>
              </w:rPr>
              <w:t>0,07</w:t>
            </w:r>
          </w:p>
        </w:tc>
        <w:tc>
          <w:tcPr>
            <w:tcW w:w="1985" w:type="dxa"/>
            <w:tcBorders>
              <w:top w:val="nil"/>
              <w:left w:val="nil"/>
              <w:bottom w:val="single" w:sz="8" w:space="0" w:color="auto"/>
              <w:right w:val="nil"/>
            </w:tcBorders>
            <w:shd w:val="clear" w:color="auto" w:fill="auto"/>
            <w:noWrap/>
            <w:vAlign w:val="center"/>
            <w:hideMark/>
          </w:tcPr>
          <w:p w14:paraId="77D72A5B" w14:textId="77777777" w:rsidR="00822472" w:rsidRPr="00822472" w:rsidRDefault="00822472" w:rsidP="00822472">
            <w:pPr>
              <w:jc w:val="center"/>
              <w:rPr>
                <w:color w:val="000000"/>
                <w:lang w:val="id-ID" w:eastAsia="id-ID"/>
              </w:rPr>
            </w:pPr>
            <w:r w:rsidRPr="00822472">
              <w:rPr>
                <w:color w:val="000000"/>
                <w:lang w:val="id-ID" w:eastAsia="id-ID"/>
              </w:rPr>
              <w:t>102,91</w:t>
            </w:r>
          </w:p>
        </w:tc>
      </w:tr>
      <w:tr w:rsidR="00822472" w:rsidRPr="00822472" w14:paraId="74E48886"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2DCE8532" w14:textId="77777777" w:rsidR="00822472" w:rsidRPr="00822472" w:rsidRDefault="00822472" w:rsidP="00822472">
            <w:pPr>
              <w:jc w:val="center"/>
              <w:rPr>
                <w:color w:val="000000"/>
                <w:lang w:val="id-ID" w:eastAsia="id-ID"/>
              </w:rPr>
            </w:pPr>
            <w:r w:rsidRPr="00822472">
              <w:rPr>
                <w:color w:val="000000"/>
                <w:lang w:val="id-ID" w:eastAsia="id-ID"/>
              </w:rPr>
              <w:t>13</w:t>
            </w:r>
          </w:p>
        </w:tc>
        <w:tc>
          <w:tcPr>
            <w:tcW w:w="2260" w:type="dxa"/>
            <w:tcBorders>
              <w:top w:val="nil"/>
              <w:left w:val="nil"/>
              <w:bottom w:val="single" w:sz="8" w:space="0" w:color="auto"/>
              <w:right w:val="nil"/>
            </w:tcBorders>
            <w:shd w:val="clear" w:color="auto" w:fill="auto"/>
            <w:noWrap/>
            <w:vAlign w:val="center"/>
            <w:hideMark/>
          </w:tcPr>
          <w:p w14:paraId="66D8ABEC" w14:textId="77777777" w:rsidR="00822472" w:rsidRPr="00822472" w:rsidRDefault="00822472" w:rsidP="00D216B6">
            <w:pPr>
              <w:rPr>
                <w:color w:val="000000"/>
                <w:lang w:val="id-ID" w:eastAsia="id-ID"/>
              </w:rPr>
            </w:pPr>
            <w:r w:rsidRPr="00822472">
              <w:rPr>
                <w:color w:val="000000"/>
                <w:lang w:val="id-ID" w:eastAsia="id-ID"/>
              </w:rPr>
              <w:t>Manggarai</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214877FE" w14:textId="066FDDDC" w:rsidR="00822472" w:rsidRPr="00822472" w:rsidRDefault="00822472" w:rsidP="00822472">
            <w:pPr>
              <w:jc w:val="center"/>
              <w:rPr>
                <w:color w:val="000000"/>
                <w:lang w:val="id-ID" w:eastAsia="id-ID"/>
              </w:rPr>
            </w:pPr>
            <w:r w:rsidRPr="00822472">
              <w:rPr>
                <w:color w:val="000000"/>
                <w:lang w:val="id-ID" w:eastAsia="id-ID"/>
              </w:rPr>
              <w:t>0,16</w:t>
            </w:r>
          </w:p>
        </w:tc>
        <w:tc>
          <w:tcPr>
            <w:tcW w:w="1985" w:type="dxa"/>
            <w:tcBorders>
              <w:top w:val="nil"/>
              <w:left w:val="nil"/>
              <w:bottom w:val="single" w:sz="8" w:space="0" w:color="auto"/>
              <w:right w:val="nil"/>
            </w:tcBorders>
            <w:shd w:val="clear" w:color="auto" w:fill="auto"/>
            <w:noWrap/>
            <w:vAlign w:val="center"/>
            <w:hideMark/>
          </w:tcPr>
          <w:p w14:paraId="74301D64" w14:textId="77777777" w:rsidR="00822472" w:rsidRPr="00822472" w:rsidRDefault="00822472" w:rsidP="00822472">
            <w:pPr>
              <w:jc w:val="center"/>
              <w:rPr>
                <w:color w:val="000000"/>
                <w:lang w:val="id-ID" w:eastAsia="id-ID"/>
              </w:rPr>
            </w:pPr>
            <w:r w:rsidRPr="00822472">
              <w:rPr>
                <w:color w:val="000000"/>
                <w:lang w:val="id-ID" w:eastAsia="id-ID"/>
              </w:rPr>
              <w:t>125,31</w:t>
            </w:r>
          </w:p>
        </w:tc>
      </w:tr>
      <w:tr w:rsidR="00822472" w:rsidRPr="00822472" w14:paraId="799979A1"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E567EFA" w14:textId="77777777" w:rsidR="00822472" w:rsidRPr="00822472" w:rsidRDefault="00822472" w:rsidP="00822472">
            <w:pPr>
              <w:jc w:val="center"/>
              <w:rPr>
                <w:color w:val="000000"/>
                <w:lang w:val="id-ID" w:eastAsia="id-ID"/>
              </w:rPr>
            </w:pPr>
            <w:r w:rsidRPr="00822472">
              <w:rPr>
                <w:color w:val="000000"/>
                <w:lang w:val="id-ID" w:eastAsia="id-ID"/>
              </w:rPr>
              <w:t>14</w:t>
            </w:r>
          </w:p>
        </w:tc>
        <w:tc>
          <w:tcPr>
            <w:tcW w:w="2260" w:type="dxa"/>
            <w:tcBorders>
              <w:top w:val="nil"/>
              <w:left w:val="nil"/>
              <w:bottom w:val="single" w:sz="8" w:space="0" w:color="auto"/>
              <w:right w:val="nil"/>
            </w:tcBorders>
            <w:shd w:val="clear" w:color="auto" w:fill="auto"/>
            <w:noWrap/>
            <w:vAlign w:val="center"/>
            <w:hideMark/>
          </w:tcPr>
          <w:p w14:paraId="5752383A" w14:textId="77777777" w:rsidR="00822472" w:rsidRPr="00822472" w:rsidRDefault="00822472" w:rsidP="00D216B6">
            <w:pPr>
              <w:rPr>
                <w:color w:val="000000"/>
                <w:lang w:val="id-ID" w:eastAsia="id-ID"/>
              </w:rPr>
            </w:pPr>
            <w:r w:rsidRPr="00822472">
              <w:rPr>
                <w:color w:val="000000"/>
                <w:lang w:val="id-ID" w:eastAsia="id-ID"/>
              </w:rPr>
              <w:t>Rote Ndao</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0843E935" w14:textId="49A55821" w:rsidR="00822472" w:rsidRPr="00822472" w:rsidRDefault="00822472" w:rsidP="00822472">
            <w:pPr>
              <w:jc w:val="center"/>
              <w:rPr>
                <w:color w:val="000000"/>
                <w:lang w:val="id-ID" w:eastAsia="id-ID"/>
              </w:rPr>
            </w:pPr>
            <w:r w:rsidRPr="00822472">
              <w:rPr>
                <w:color w:val="000000"/>
                <w:lang w:val="id-ID" w:eastAsia="id-ID"/>
              </w:rPr>
              <w:t>0,02</w:t>
            </w:r>
          </w:p>
        </w:tc>
        <w:tc>
          <w:tcPr>
            <w:tcW w:w="1985" w:type="dxa"/>
            <w:tcBorders>
              <w:top w:val="nil"/>
              <w:left w:val="nil"/>
              <w:bottom w:val="single" w:sz="8" w:space="0" w:color="auto"/>
              <w:right w:val="nil"/>
            </w:tcBorders>
            <w:shd w:val="clear" w:color="auto" w:fill="auto"/>
            <w:noWrap/>
            <w:vAlign w:val="center"/>
            <w:hideMark/>
          </w:tcPr>
          <w:p w14:paraId="30564B74" w14:textId="77777777" w:rsidR="00822472" w:rsidRPr="00822472" w:rsidRDefault="00822472" w:rsidP="00822472">
            <w:pPr>
              <w:jc w:val="center"/>
              <w:rPr>
                <w:color w:val="000000"/>
                <w:lang w:val="id-ID" w:eastAsia="id-ID"/>
              </w:rPr>
            </w:pPr>
            <w:r w:rsidRPr="00822472">
              <w:rPr>
                <w:color w:val="000000"/>
                <w:lang w:val="id-ID" w:eastAsia="id-ID"/>
              </w:rPr>
              <w:t>83,6</w:t>
            </w:r>
          </w:p>
        </w:tc>
      </w:tr>
      <w:tr w:rsidR="00822472" w:rsidRPr="00822472" w14:paraId="612C6F0F"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FDC0330" w14:textId="77777777" w:rsidR="00822472" w:rsidRPr="00822472" w:rsidRDefault="00822472" w:rsidP="00822472">
            <w:pPr>
              <w:jc w:val="center"/>
              <w:rPr>
                <w:color w:val="000000"/>
                <w:lang w:val="id-ID" w:eastAsia="id-ID"/>
              </w:rPr>
            </w:pPr>
            <w:r w:rsidRPr="00822472">
              <w:rPr>
                <w:color w:val="000000"/>
                <w:lang w:val="id-ID" w:eastAsia="id-ID"/>
              </w:rPr>
              <w:t>15</w:t>
            </w:r>
          </w:p>
        </w:tc>
        <w:tc>
          <w:tcPr>
            <w:tcW w:w="2260" w:type="dxa"/>
            <w:tcBorders>
              <w:top w:val="nil"/>
              <w:left w:val="nil"/>
              <w:bottom w:val="single" w:sz="8" w:space="0" w:color="auto"/>
              <w:right w:val="nil"/>
            </w:tcBorders>
            <w:shd w:val="clear" w:color="auto" w:fill="auto"/>
            <w:noWrap/>
            <w:vAlign w:val="center"/>
            <w:hideMark/>
          </w:tcPr>
          <w:p w14:paraId="0672F8EC" w14:textId="77777777" w:rsidR="00822472" w:rsidRPr="00822472" w:rsidRDefault="00822472" w:rsidP="00D216B6">
            <w:pPr>
              <w:rPr>
                <w:color w:val="000000"/>
                <w:lang w:val="id-ID" w:eastAsia="id-ID"/>
              </w:rPr>
            </w:pPr>
            <w:r w:rsidRPr="00822472">
              <w:rPr>
                <w:color w:val="000000"/>
                <w:lang w:val="id-ID" w:eastAsia="id-ID"/>
              </w:rPr>
              <w:t>Manggarai  Barat</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03C416DB" w14:textId="247DABEF" w:rsidR="00822472" w:rsidRPr="00822472" w:rsidRDefault="00822472" w:rsidP="00822472">
            <w:pPr>
              <w:jc w:val="center"/>
              <w:rPr>
                <w:color w:val="000000"/>
                <w:lang w:val="id-ID" w:eastAsia="id-ID"/>
              </w:rPr>
            </w:pPr>
            <w:r w:rsidRPr="00822472">
              <w:rPr>
                <w:color w:val="000000"/>
                <w:lang w:val="id-ID" w:eastAsia="id-ID"/>
              </w:rPr>
              <w:t>0,16</w:t>
            </w:r>
          </w:p>
        </w:tc>
        <w:tc>
          <w:tcPr>
            <w:tcW w:w="1985" w:type="dxa"/>
            <w:tcBorders>
              <w:top w:val="nil"/>
              <w:left w:val="nil"/>
              <w:bottom w:val="single" w:sz="8" w:space="0" w:color="auto"/>
              <w:right w:val="nil"/>
            </w:tcBorders>
            <w:shd w:val="clear" w:color="auto" w:fill="auto"/>
            <w:noWrap/>
            <w:vAlign w:val="center"/>
            <w:hideMark/>
          </w:tcPr>
          <w:p w14:paraId="14AD8DFA" w14:textId="77777777" w:rsidR="00822472" w:rsidRPr="00822472" w:rsidRDefault="00822472" w:rsidP="00822472">
            <w:pPr>
              <w:jc w:val="center"/>
              <w:rPr>
                <w:color w:val="000000"/>
                <w:lang w:val="id-ID" w:eastAsia="id-ID"/>
              </w:rPr>
            </w:pPr>
            <w:r w:rsidRPr="00822472">
              <w:rPr>
                <w:color w:val="000000"/>
                <w:lang w:val="id-ID" w:eastAsia="id-ID"/>
              </w:rPr>
              <w:t>92,41</w:t>
            </w:r>
          </w:p>
        </w:tc>
      </w:tr>
      <w:tr w:rsidR="00822472" w:rsidRPr="00822472" w14:paraId="1E77F6DD"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00AD77FB" w14:textId="77777777" w:rsidR="00822472" w:rsidRPr="00822472" w:rsidRDefault="00822472" w:rsidP="00822472">
            <w:pPr>
              <w:jc w:val="center"/>
              <w:rPr>
                <w:color w:val="000000"/>
                <w:lang w:val="id-ID" w:eastAsia="id-ID"/>
              </w:rPr>
            </w:pPr>
            <w:r w:rsidRPr="00822472">
              <w:rPr>
                <w:color w:val="000000"/>
                <w:lang w:val="id-ID" w:eastAsia="id-ID"/>
              </w:rPr>
              <w:t>16</w:t>
            </w:r>
          </w:p>
        </w:tc>
        <w:tc>
          <w:tcPr>
            <w:tcW w:w="2260" w:type="dxa"/>
            <w:tcBorders>
              <w:top w:val="nil"/>
              <w:left w:val="nil"/>
              <w:bottom w:val="single" w:sz="8" w:space="0" w:color="auto"/>
              <w:right w:val="nil"/>
            </w:tcBorders>
            <w:shd w:val="clear" w:color="auto" w:fill="auto"/>
            <w:noWrap/>
            <w:vAlign w:val="center"/>
            <w:hideMark/>
          </w:tcPr>
          <w:p w14:paraId="19E09062" w14:textId="77777777" w:rsidR="00822472" w:rsidRPr="00822472" w:rsidRDefault="00822472" w:rsidP="00D216B6">
            <w:pPr>
              <w:rPr>
                <w:color w:val="000000"/>
                <w:lang w:val="id-ID" w:eastAsia="id-ID"/>
              </w:rPr>
            </w:pPr>
            <w:r w:rsidRPr="00822472">
              <w:rPr>
                <w:color w:val="000000"/>
                <w:lang w:val="id-ID" w:eastAsia="id-ID"/>
              </w:rPr>
              <w:t>Sumba Tengah</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570FBBEB" w14:textId="37B273AA" w:rsidR="00822472" w:rsidRPr="00822472" w:rsidRDefault="00822472" w:rsidP="00822472">
            <w:pPr>
              <w:jc w:val="center"/>
              <w:rPr>
                <w:color w:val="000000"/>
                <w:lang w:val="id-ID" w:eastAsia="id-ID"/>
              </w:rPr>
            </w:pPr>
            <w:r w:rsidRPr="00822472">
              <w:rPr>
                <w:color w:val="000000"/>
                <w:lang w:val="id-ID" w:eastAsia="id-ID"/>
              </w:rPr>
              <w:t>0,04</w:t>
            </w:r>
          </w:p>
        </w:tc>
        <w:tc>
          <w:tcPr>
            <w:tcW w:w="1985" w:type="dxa"/>
            <w:tcBorders>
              <w:top w:val="nil"/>
              <w:left w:val="nil"/>
              <w:bottom w:val="single" w:sz="8" w:space="0" w:color="auto"/>
              <w:right w:val="nil"/>
            </w:tcBorders>
            <w:shd w:val="clear" w:color="auto" w:fill="auto"/>
            <w:noWrap/>
            <w:vAlign w:val="center"/>
            <w:hideMark/>
          </w:tcPr>
          <w:p w14:paraId="11A9142F" w14:textId="77777777" w:rsidR="00822472" w:rsidRPr="00822472" w:rsidRDefault="00822472" w:rsidP="00822472">
            <w:pPr>
              <w:jc w:val="center"/>
              <w:rPr>
                <w:color w:val="000000"/>
                <w:lang w:val="id-ID" w:eastAsia="id-ID"/>
              </w:rPr>
            </w:pPr>
            <w:r w:rsidRPr="00822472">
              <w:rPr>
                <w:color w:val="000000"/>
                <w:lang w:val="id-ID" w:eastAsia="id-ID"/>
              </w:rPr>
              <w:t>32,99</w:t>
            </w:r>
          </w:p>
        </w:tc>
      </w:tr>
      <w:tr w:rsidR="00822472" w:rsidRPr="00822472" w14:paraId="0D218207"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B464111" w14:textId="77777777" w:rsidR="00822472" w:rsidRPr="00822472" w:rsidRDefault="00822472" w:rsidP="00822472">
            <w:pPr>
              <w:jc w:val="center"/>
              <w:rPr>
                <w:color w:val="000000"/>
                <w:lang w:val="id-ID" w:eastAsia="id-ID"/>
              </w:rPr>
            </w:pPr>
            <w:r w:rsidRPr="00822472">
              <w:rPr>
                <w:color w:val="000000"/>
                <w:lang w:val="id-ID" w:eastAsia="id-ID"/>
              </w:rPr>
              <w:t>17</w:t>
            </w:r>
          </w:p>
        </w:tc>
        <w:tc>
          <w:tcPr>
            <w:tcW w:w="2260" w:type="dxa"/>
            <w:tcBorders>
              <w:top w:val="nil"/>
              <w:left w:val="nil"/>
              <w:bottom w:val="single" w:sz="8" w:space="0" w:color="auto"/>
              <w:right w:val="nil"/>
            </w:tcBorders>
            <w:shd w:val="clear" w:color="auto" w:fill="auto"/>
            <w:noWrap/>
            <w:vAlign w:val="center"/>
            <w:hideMark/>
          </w:tcPr>
          <w:p w14:paraId="513B1FA3" w14:textId="77777777" w:rsidR="00822472" w:rsidRPr="00822472" w:rsidRDefault="00822472" w:rsidP="00D216B6">
            <w:pPr>
              <w:rPr>
                <w:color w:val="000000"/>
                <w:lang w:val="id-ID" w:eastAsia="id-ID"/>
              </w:rPr>
            </w:pPr>
            <w:r w:rsidRPr="00822472">
              <w:rPr>
                <w:color w:val="000000"/>
                <w:lang w:val="id-ID" w:eastAsia="id-ID"/>
              </w:rPr>
              <w:t>Sumba  barat daya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643990CC" w14:textId="6D8526D9" w:rsidR="00822472" w:rsidRPr="00822472" w:rsidRDefault="00822472" w:rsidP="00822472">
            <w:pPr>
              <w:jc w:val="center"/>
              <w:rPr>
                <w:color w:val="000000"/>
                <w:lang w:val="id-ID" w:eastAsia="id-ID"/>
              </w:rPr>
            </w:pPr>
            <w:r w:rsidRPr="00822472">
              <w:rPr>
                <w:color w:val="000000"/>
                <w:lang w:val="id-ID" w:eastAsia="id-ID"/>
              </w:rPr>
              <w:t>0,27</w:t>
            </w:r>
          </w:p>
        </w:tc>
        <w:tc>
          <w:tcPr>
            <w:tcW w:w="1985" w:type="dxa"/>
            <w:tcBorders>
              <w:top w:val="nil"/>
              <w:left w:val="nil"/>
              <w:bottom w:val="single" w:sz="8" w:space="0" w:color="auto"/>
              <w:right w:val="nil"/>
            </w:tcBorders>
            <w:shd w:val="clear" w:color="auto" w:fill="auto"/>
            <w:noWrap/>
            <w:vAlign w:val="center"/>
            <w:hideMark/>
          </w:tcPr>
          <w:p w14:paraId="0F74C11F" w14:textId="77777777" w:rsidR="00822472" w:rsidRPr="00822472" w:rsidRDefault="00822472" w:rsidP="00822472">
            <w:pPr>
              <w:jc w:val="center"/>
              <w:rPr>
                <w:color w:val="000000"/>
                <w:lang w:val="id-ID" w:eastAsia="id-ID"/>
              </w:rPr>
            </w:pPr>
            <w:r w:rsidRPr="00822472">
              <w:rPr>
                <w:color w:val="000000"/>
                <w:lang w:val="id-ID" w:eastAsia="id-ID"/>
              </w:rPr>
              <w:t>92,14</w:t>
            </w:r>
          </w:p>
        </w:tc>
      </w:tr>
      <w:tr w:rsidR="00822472" w:rsidRPr="00822472" w14:paraId="7CC59DA1"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986101F" w14:textId="77777777" w:rsidR="00822472" w:rsidRPr="00822472" w:rsidRDefault="00822472" w:rsidP="00822472">
            <w:pPr>
              <w:jc w:val="center"/>
              <w:rPr>
                <w:color w:val="000000"/>
                <w:lang w:val="id-ID" w:eastAsia="id-ID"/>
              </w:rPr>
            </w:pPr>
            <w:r w:rsidRPr="00822472">
              <w:rPr>
                <w:color w:val="000000"/>
                <w:lang w:val="id-ID" w:eastAsia="id-ID"/>
              </w:rPr>
              <w:t>18</w:t>
            </w:r>
          </w:p>
        </w:tc>
        <w:tc>
          <w:tcPr>
            <w:tcW w:w="2260" w:type="dxa"/>
            <w:tcBorders>
              <w:top w:val="nil"/>
              <w:left w:val="nil"/>
              <w:bottom w:val="single" w:sz="8" w:space="0" w:color="auto"/>
              <w:right w:val="nil"/>
            </w:tcBorders>
            <w:shd w:val="clear" w:color="auto" w:fill="auto"/>
            <w:noWrap/>
            <w:vAlign w:val="center"/>
            <w:hideMark/>
          </w:tcPr>
          <w:p w14:paraId="07255D57" w14:textId="77777777" w:rsidR="00822472" w:rsidRPr="00822472" w:rsidRDefault="00822472" w:rsidP="00D216B6">
            <w:pPr>
              <w:rPr>
                <w:color w:val="000000"/>
                <w:lang w:val="id-ID" w:eastAsia="id-ID"/>
              </w:rPr>
            </w:pPr>
            <w:r w:rsidRPr="00822472">
              <w:rPr>
                <w:color w:val="000000"/>
                <w:lang w:val="id-ID" w:eastAsia="id-ID"/>
              </w:rPr>
              <w:t>Nagekeo</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3F7A918C" w14:textId="6083F6BA" w:rsidR="00822472" w:rsidRPr="00822472" w:rsidRDefault="00822472" w:rsidP="00822472">
            <w:pPr>
              <w:jc w:val="center"/>
              <w:rPr>
                <w:color w:val="000000"/>
                <w:lang w:val="id-ID" w:eastAsia="id-ID"/>
              </w:rPr>
            </w:pPr>
            <w:r w:rsidRPr="00822472">
              <w:rPr>
                <w:color w:val="000000"/>
                <w:lang w:val="id-ID" w:eastAsia="id-ID"/>
              </w:rPr>
              <w:t>0,09</w:t>
            </w:r>
          </w:p>
        </w:tc>
        <w:tc>
          <w:tcPr>
            <w:tcW w:w="1985" w:type="dxa"/>
            <w:tcBorders>
              <w:top w:val="nil"/>
              <w:left w:val="nil"/>
              <w:bottom w:val="single" w:sz="8" w:space="0" w:color="auto"/>
              <w:right w:val="nil"/>
            </w:tcBorders>
            <w:shd w:val="clear" w:color="auto" w:fill="auto"/>
            <w:noWrap/>
            <w:vAlign w:val="center"/>
            <w:hideMark/>
          </w:tcPr>
          <w:p w14:paraId="5C2E7183" w14:textId="77777777" w:rsidR="00822472" w:rsidRPr="00822472" w:rsidRDefault="00822472" w:rsidP="00822472">
            <w:pPr>
              <w:jc w:val="center"/>
              <w:rPr>
                <w:color w:val="000000"/>
                <w:lang w:val="id-ID" w:eastAsia="id-ID"/>
              </w:rPr>
            </w:pPr>
            <w:r w:rsidRPr="00822472">
              <w:rPr>
                <w:color w:val="000000"/>
                <w:lang w:val="id-ID" w:eastAsia="id-ID"/>
              </w:rPr>
              <w:t>59,03</w:t>
            </w:r>
          </w:p>
        </w:tc>
      </w:tr>
      <w:tr w:rsidR="00822472" w:rsidRPr="00822472" w14:paraId="25885191"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43D3109" w14:textId="77777777" w:rsidR="00822472" w:rsidRPr="00822472" w:rsidRDefault="00822472" w:rsidP="00822472">
            <w:pPr>
              <w:jc w:val="center"/>
              <w:rPr>
                <w:color w:val="000000"/>
                <w:lang w:val="id-ID" w:eastAsia="id-ID"/>
              </w:rPr>
            </w:pPr>
            <w:r w:rsidRPr="00822472">
              <w:rPr>
                <w:color w:val="000000"/>
                <w:lang w:val="id-ID" w:eastAsia="id-ID"/>
              </w:rPr>
              <w:t>19</w:t>
            </w:r>
          </w:p>
        </w:tc>
        <w:tc>
          <w:tcPr>
            <w:tcW w:w="2260" w:type="dxa"/>
            <w:tcBorders>
              <w:top w:val="nil"/>
              <w:left w:val="nil"/>
              <w:bottom w:val="single" w:sz="8" w:space="0" w:color="auto"/>
              <w:right w:val="nil"/>
            </w:tcBorders>
            <w:shd w:val="clear" w:color="auto" w:fill="auto"/>
            <w:noWrap/>
            <w:vAlign w:val="center"/>
            <w:hideMark/>
          </w:tcPr>
          <w:p w14:paraId="7A8EF05F" w14:textId="77777777" w:rsidR="00822472" w:rsidRPr="00822472" w:rsidRDefault="00822472" w:rsidP="00D216B6">
            <w:pPr>
              <w:rPr>
                <w:color w:val="000000"/>
                <w:lang w:val="id-ID" w:eastAsia="id-ID"/>
              </w:rPr>
            </w:pPr>
            <w:r w:rsidRPr="00822472">
              <w:rPr>
                <w:color w:val="000000"/>
                <w:lang w:val="id-ID" w:eastAsia="id-ID"/>
              </w:rPr>
              <w:t>Manggarai  Timur</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58A85F00" w14:textId="42614B46" w:rsidR="00822472" w:rsidRPr="00822472" w:rsidRDefault="00822472" w:rsidP="00822472">
            <w:pPr>
              <w:jc w:val="center"/>
              <w:rPr>
                <w:color w:val="000000"/>
                <w:lang w:val="id-ID" w:eastAsia="id-ID"/>
              </w:rPr>
            </w:pPr>
            <w:r w:rsidRPr="00822472">
              <w:rPr>
                <w:color w:val="000000"/>
                <w:lang w:val="id-ID" w:eastAsia="id-ID"/>
              </w:rPr>
              <w:t>0,25</w:t>
            </w:r>
          </w:p>
        </w:tc>
        <w:tc>
          <w:tcPr>
            <w:tcW w:w="1985" w:type="dxa"/>
            <w:tcBorders>
              <w:top w:val="nil"/>
              <w:left w:val="nil"/>
              <w:bottom w:val="single" w:sz="8" w:space="0" w:color="auto"/>
              <w:right w:val="nil"/>
            </w:tcBorders>
            <w:shd w:val="clear" w:color="auto" w:fill="auto"/>
            <w:noWrap/>
            <w:vAlign w:val="center"/>
            <w:hideMark/>
          </w:tcPr>
          <w:p w14:paraId="4E5171D2" w14:textId="77777777" w:rsidR="00822472" w:rsidRPr="00822472" w:rsidRDefault="00822472" w:rsidP="00822472">
            <w:pPr>
              <w:jc w:val="center"/>
              <w:rPr>
                <w:color w:val="000000"/>
                <w:lang w:val="id-ID" w:eastAsia="id-ID"/>
              </w:rPr>
            </w:pPr>
            <w:r w:rsidRPr="00822472">
              <w:rPr>
                <w:color w:val="000000"/>
                <w:lang w:val="id-ID" w:eastAsia="id-ID"/>
              </w:rPr>
              <w:t>81,6</w:t>
            </w:r>
          </w:p>
        </w:tc>
      </w:tr>
      <w:tr w:rsidR="00822472" w:rsidRPr="00822472" w14:paraId="1B98F47E"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79ADFE11" w14:textId="77777777" w:rsidR="00822472" w:rsidRPr="00822472" w:rsidRDefault="00822472" w:rsidP="00822472">
            <w:pPr>
              <w:jc w:val="center"/>
              <w:rPr>
                <w:color w:val="000000"/>
                <w:lang w:val="id-ID" w:eastAsia="id-ID"/>
              </w:rPr>
            </w:pPr>
            <w:r w:rsidRPr="00822472">
              <w:rPr>
                <w:color w:val="000000"/>
                <w:lang w:val="id-ID" w:eastAsia="id-ID"/>
              </w:rPr>
              <w:t>20</w:t>
            </w:r>
          </w:p>
        </w:tc>
        <w:tc>
          <w:tcPr>
            <w:tcW w:w="2260" w:type="dxa"/>
            <w:tcBorders>
              <w:top w:val="nil"/>
              <w:left w:val="nil"/>
              <w:bottom w:val="single" w:sz="8" w:space="0" w:color="auto"/>
              <w:right w:val="nil"/>
            </w:tcBorders>
            <w:shd w:val="clear" w:color="auto" w:fill="auto"/>
            <w:noWrap/>
            <w:vAlign w:val="center"/>
            <w:hideMark/>
          </w:tcPr>
          <w:p w14:paraId="22F8BC93" w14:textId="77777777" w:rsidR="00822472" w:rsidRPr="00822472" w:rsidRDefault="00822472" w:rsidP="00D216B6">
            <w:pPr>
              <w:rPr>
                <w:color w:val="000000"/>
                <w:lang w:val="id-ID" w:eastAsia="id-ID"/>
              </w:rPr>
            </w:pPr>
            <w:r w:rsidRPr="00822472">
              <w:rPr>
                <w:color w:val="000000"/>
                <w:lang w:val="id-ID" w:eastAsia="id-ID"/>
              </w:rPr>
              <w:t>Sabu Raijua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3B672A8B" w14:textId="5169C4CC" w:rsidR="00822472" w:rsidRPr="00822472" w:rsidRDefault="00822472" w:rsidP="00822472">
            <w:pPr>
              <w:jc w:val="center"/>
              <w:rPr>
                <w:color w:val="000000"/>
                <w:lang w:val="id-ID" w:eastAsia="id-ID"/>
              </w:rPr>
            </w:pPr>
            <w:r w:rsidRPr="00822472">
              <w:rPr>
                <w:color w:val="000000"/>
                <w:lang w:val="id-ID" w:eastAsia="id-ID"/>
              </w:rPr>
              <w:t>0,04</w:t>
            </w:r>
          </w:p>
        </w:tc>
        <w:tc>
          <w:tcPr>
            <w:tcW w:w="1985" w:type="dxa"/>
            <w:tcBorders>
              <w:top w:val="nil"/>
              <w:left w:val="nil"/>
              <w:bottom w:val="single" w:sz="8" w:space="0" w:color="auto"/>
              <w:right w:val="nil"/>
            </w:tcBorders>
            <w:shd w:val="clear" w:color="auto" w:fill="auto"/>
            <w:noWrap/>
            <w:vAlign w:val="center"/>
            <w:hideMark/>
          </w:tcPr>
          <w:p w14:paraId="7FD7F9D9" w14:textId="77777777" w:rsidR="00822472" w:rsidRPr="00822472" w:rsidRDefault="00822472" w:rsidP="00822472">
            <w:pPr>
              <w:jc w:val="center"/>
              <w:rPr>
                <w:color w:val="000000"/>
                <w:lang w:val="id-ID" w:eastAsia="id-ID"/>
              </w:rPr>
            </w:pPr>
            <w:r w:rsidRPr="00822472">
              <w:rPr>
                <w:color w:val="000000"/>
                <w:lang w:val="id-ID" w:eastAsia="id-ID"/>
              </w:rPr>
              <w:t>33,57</w:t>
            </w:r>
          </w:p>
        </w:tc>
      </w:tr>
      <w:tr w:rsidR="00822472" w:rsidRPr="00822472" w14:paraId="15C98BA2"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55E84696" w14:textId="77777777" w:rsidR="00822472" w:rsidRPr="00822472" w:rsidRDefault="00822472" w:rsidP="00822472">
            <w:pPr>
              <w:jc w:val="center"/>
              <w:rPr>
                <w:color w:val="000000"/>
                <w:lang w:val="id-ID" w:eastAsia="id-ID"/>
              </w:rPr>
            </w:pPr>
            <w:r w:rsidRPr="00822472">
              <w:rPr>
                <w:color w:val="000000"/>
                <w:lang w:val="id-ID" w:eastAsia="id-ID"/>
              </w:rPr>
              <w:t>21</w:t>
            </w:r>
          </w:p>
        </w:tc>
        <w:tc>
          <w:tcPr>
            <w:tcW w:w="2260" w:type="dxa"/>
            <w:tcBorders>
              <w:top w:val="nil"/>
              <w:left w:val="nil"/>
              <w:bottom w:val="single" w:sz="8" w:space="0" w:color="auto"/>
              <w:right w:val="nil"/>
            </w:tcBorders>
            <w:shd w:val="clear" w:color="auto" w:fill="auto"/>
            <w:noWrap/>
            <w:vAlign w:val="center"/>
            <w:hideMark/>
          </w:tcPr>
          <w:p w14:paraId="4AE8C6E7" w14:textId="77777777" w:rsidR="00822472" w:rsidRPr="00822472" w:rsidRDefault="00822472" w:rsidP="00D216B6">
            <w:pPr>
              <w:rPr>
                <w:color w:val="000000"/>
                <w:lang w:val="id-ID" w:eastAsia="id-ID"/>
              </w:rPr>
            </w:pPr>
            <w:r w:rsidRPr="00822472">
              <w:rPr>
                <w:color w:val="000000"/>
                <w:lang w:val="id-ID" w:eastAsia="id-ID"/>
              </w:rPr>
              <w:t>Malaka</w:t>
            </w:r>
          </w:p>
        </w:tc>
        <w:tc>
          <w:tcPr>
            <w:tcW w:w="1850" w:type="dxa"/>
            <w:tcBorders>
              <w:top w:val="nil"/>
              <w:left w:val="single" w:sz="8" w:space="0" w:color="auto"/>
              <w:bottom w:val="single" w:sz="8" w:space="0" w:color="auto"/>
              <w:right w:val="single" w:sz="8" w:space="0" w:color="auto"/>
            </w:tcBorders>
            <w:shd w:val="clear" w:color="auto" w:fill="auto"/>
            <w:noWrap/>
            <w:vAlign w:val="center"/>
            <w:hideMark/>
          </w:tcPr>
          <w:p w14:paraId="5F2360A9" w14:textId="2BC2C5FE" w:rsidR="00822472" w:rsidRPr="00822472" w:rsidRDefault="00822472" w:rsidP="00822472">
            <w:pPr>
              <w:jc w:val="center"/>
              <w:rPr>
                <w:color w:val="000000"/>
                <w:lang w:val="id-ID" w:eastAsia="id-ID"/>
              </w:rPr>
            </w:pPr>
            <w:r w:rsidRPr="00822472">
              <w:rPr>
                <w:color w:val="000000"/>
                <w:lang w:val="id-ID" w:eastAsia="id-ID"/>
              </w:rPr>
              <w:t>0,09</w:t>
            </w:r>
          </w:p>
        </w:tc>
        <w:tc>
          <w:tcPr>
            <w:tcW w:w="1985" w:type="dxa"/>
            <w:tcBorders>
              <w:top w:val="nil"/>
              <w:left w:val="nil"/>
              <w:bottom w:val="single" w:sz="8" w:space="0" w:color="auto"/>
              <w:right w:val="nil"/>
            </w:tcBorders>
            <w:shd w:val="clear" w:color="auto" w:fill="auto"/>
            <w:noWrap/>
            <w:vAlign w:val="center"/>
            <w:hideMark/>
          </w:tcPr>
          <w:p w14:paraId="6B401DF1" w14:textId="77777777" w:rsidR="00822472" w:rsidRPr="00822472" w:rsidRDefault="00822472" w:rsidP="00822472">
            <w:pPr>
              <w:jc w:val="center"/>
              <w:rPr>
                <w:color w:val="000000"/>
                <w:lang w:val="id-ID" w:eastAsia="id-ID"/>
              </w:rPr>
            </w:pPr>
            <w:r w:rsidRPr="00822472">
              <w:rPr>
                <w:color w:val="000000"/>
                <w:lang w:val="id-ID" w:eastAsia="id-ID"/>
              </w:rPr>
              <w:t>79,03</w:t>
            </w:r>
          </w:p>
        </w:tc>
      </w:tr>
      <w:tr w:rsidR="00822472" w:rsidRPr="00822472" w14:paraId="1DB54CEC"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6FFE7AAC" w14:textId="77777777" w:rsidR="00822472" w:rsidRPr="00822472" w:rsidRDefault="00822472" w:rsidP="00822472">
            <w:pPr>
              <w:jc w:val="center"/>
              <w:rPr>
                <w:color w:val="000000"/>
                <w:lang w:val="id-ID" w:eastAsia="id-ID"/>
              </w:rPr>
            </w:pPr>
            <w:r w:rsidRPr="00822472">
              <w:rPr>
                <w:color w:val="000000"/>
                <w:lang w:val="id-ID" w:eastAsia="id-ID"/>
              </w:rPr>
              <w:t>22</w:t>
            </w:r>
          </w:p>
        </w:tc>
        <w:tc>
          <w:tcPr>
            <w:tcW w:w="2260" w:type="dxa"/>
            <w:tcBorders>
              <w:top w:val="nil"/>
              <w:left w:val="nil"/>
              <w:bottom w:val="nil"/>
              <w:right w:val="nil"/>
            </w:tcBorders>
            <w:shd w:val="clear" w:color="auto" w:fill="auto"/>
            <w:noWrap/>
            <w:vAlign w:val="center"/>
            <w:hideMark/>
          </w:tcPr>
          <w:p w14:paraId="10B51ADD" w14:textId="77777777" w:rsidR="00822472" w:rsidRPr="00822472" w:rsidRDefault="00822472" w:rsidP="00D216B6">
            <w:pPr>
              <w:rPr>
                <w:color w:val="000000"/>
                <w:lang w:val="id-ID" w:eastAsia="id-ID"/>
              </w:rPr>
            </w:pPr>
            <w:r w:rsidRPr="00822472">
              <w:rPr>
                <w:color w:val="000000"/>
                <w:lang w:val="id-ID" w:eastAsia="id-ID"/>
              </w:rPr>
              <w:t>Kota  Kupang</w:t>
            </w:r>
          </w:p>
        </w:tc>
        <w:tc>
          <w:tcPr>
            <w:tcW w:w="1850" w:type="dxa"/>
            <w:tcBorders>
              <w:top w:val="nil"/>
              <w:left w:val="single" w:sz="8" w:space="0" w:color="auto"/>
              <w:bottom w:val="nil"/>
              <w:right w:val="single" w:sz="8" w:space="0" w:color="auto"/>
            </w:tcBorders>
            <w:shd w:val="clear" w:color="auto" w:fill="auto"/>
            <w:noWrap/>
            <w:vAlign w:val="center"/>
            <w:hideMark/>
          </w:tcPr>
          <w:p w14:paraId="0ED445DD" w14:textId="2962AA7B" w:rsidR="00822472" w:rsidRPr="00822472" w:rsidRDefault="00822472" w:rsidP="00822472">
            <w:pPr>
              <w:jc w:val="center"/>
              <w:rPr>
                <w:color w:val="000000"/>
                <w:lang w:val="id-ID" w:eastAsia="id-ID"/>
              </w:rPr>
            </w:pPr>
            <w:r w:rsidRPr="00822472">
              <w:rPr>
                <w:color w:val="000000"/>
                <w:lang w:val="id-ID" w:eastAsia="id-ID"/>
              </w:rPr>
              <w:t>1,49</w:t>
            </w:r>
          </w:p>
        </w:tc>
        <w:tc>
          <w:tcPr>
            <w:tcW w:w="1985" w:type="dxa"/>
            <w:tcBorders>
              <w:top w:val="nil"/>
              <w:left w:val="nil"/>
              <w:bottom w:val="nil"/>
              <w:right w:val="nil"/>
            </w:tcBorders>
            <w:shd w:val="clear" w:color="auto" w:fill="auto"/>
            <w:noWrap/>
            <w:vAlign w:val="center"/>
            <w:hideMark/>
          </w:tcPr>
          <w:p w14:paraId="0088DDE5" w14:textId="77777777" w:rsidR="00822472" w:rsidRPr="00822472" w:rsidRDefault="00822472" w:rsidP="00822472">
            <w:pPr>
              <w:jc w:val="center"/>
              <w:rPr>
                <w:color w:val="000000"/>
                <w:lang w:val="id-ID" w:eastAsia="id-ID"/>
              </w:rPr>
            </w:pPr>
            <w:r w:rsidRPr="00822472">
              <w:rPr>
                <w:color w:val="000000"/>
                <w:lang w:val="id-ID" w:eastAsia="id-ID"/>
              </w:rPr>
              <w:t>798,19</w:t>
            </w:r>
          </w:p>
        </w:tc>
      </w:tr>
      <w:tr w:rsidR="00822472" w:rsidRPr="00822472" w14:paraId="55DF1F65" w14:textId="77777777" w:rsidTr="00B4308A">
        <w:trPr>
          <w:trHeight w:val="315"/>
        </w:trPr>
        <w:tc>
          <w:tcPr>
            <w:tcW w:w="567" w:type="dxa"/>
            <w:tcBorders>
              <w:top w:val="nil"/>
              <w:left w:val="single" w:sz="8" w:space="0" w:color="auto"/>
              <w:bottom w:val="single" w:sz="8" w:space="0" w:color="auto"/>
              <w:right w:val="single" w:sz="8" w:space="0" w:color="auto"/>
            </w:tcBorders>
            <w:shd w:val="clear" w:color="auto" w:fill="auto"/>
            <w:noWrap/>
            <w:vAlign w:val="center"/>
            <w:hideMark/>
          </w:tcPr>
          <w:p w14:paraId="4F54AC16" w14:textId="4933074D" w:rsidR="00822472" w:rsidRPr="00822472" w:rsidRDefault="00822472" w:rsidP="00822472">
            <w:pPr>
              <w:jc w:val="center"/>
              <w:rPr>
                <w:color w:val="000000"/>
                <w:lang w:val="id-ID" w:eastAsia="id-ID"/>
              </w:rPr>
            </w:pPr>
          </w:p>
        </w:tc>
        <w:tc>
          <w:tcPr>
            <w:tcW w:w="2260" w:type="dxa"/>
            <w:tcBorders>
              <w:top w:val="single" w:sz="8" w:space="0" w:color="auto"/>
              <w:left w:val="nil"/>
              <w:bottom w:val="single" w:sz="8" w:space="0" w:color="auto"/>
              <w:right w:val="nil"/>
            </w:tcBorders>
            <w:shd w:val="clear" w:color="auto" w:fill="auto"/>
            <w:noWrap/>
            <w:vAlign w:val="center"/>
            <w:hideMark/>
          </w:tcPr>
          <w:p w14:paraId="7E5AAFBA" w14:textId="45ABEDEA" w:rsidR="00822472" w:rsidRPr="00822472" w:rsidRDefault="00822472" w:rsidP="00D216B6">
            <w:pPr>
              <w:rPr>
                <w:color w:val="000000"/>
                <w:lang w:val="id-ID" w:eastAsia="id-ID"/>
              </w:rPr>
            </w:pPr>
            <w:r w:rsidRPr="00822472">
              <w:rPr>
                <w:color w:val="000000"/>
                <w:lang w:val="id-ID" w:eastAsia="id-ID"/>
              </w:rPr>
              <w:t>Rata2</w:t>
            </w:r>
          </w:p>
        </w:tc>
        <w:tc>
          <w:tcPr>
            <w:tcW w:w="18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47218" w14:textId="0B05A780" w:rsidR="00822472" w:rsidRPr="00822472" w:rsidRDefault="00822472" w:rsidP="00822472">
            <w:pPr>
              <w:jc w:val="center"/>
              <w:rPr>
                <w:b/>
                <w:bCs/>
                <w:color w:val="000000"/>
                <w:lang w:val="id-ID" w:eastAsia="id-ID"/>
              </w:rPr>
            </w:pPr>
            <w:r w:rsidRPr="00822472">
              <w:rPr>
                <w:b/>
                <w:bCs/>
                <w:color w:val="000000"/>
                <w:lang w:val="id-ID" w:eastAsia="id-ID"/>
              </w:rPr>
              <w:t>0,17</w:t>
            </w:r>
          </w:p>
        </w:tc>
        <w:tc>
          <w:tcPr>
            <w:tcW w:w="1985" w:type="dxa"/>
            <w:tcBorders>
              <w:top w:val="single" w:sz="8" w:space="0" w:color="auto"/>
              <w:left w:val="nil"/>
              <w:bottom w:val="single" w:sz="8" w:space="0" w:color="auto"/>
              <w:right w:val="single" w:sz="8" w:space="0" w:color="auto"/>
            </w:tcBorders>
            <w:shd w:val="clear" w:color="auto" w:fill="auto"/>
            <w:noWrap/>
            <w:vAlign w:val="center"/>
            <w:hideMark/>
          </w:tcPr>
          <w:p w14:paraId="436A08C4" w14:textId="2140BDF5" w:rsidR="00822472" w:rsidRPr="00822472" w:rsidRDefault="00822472" w:rsidP="00822472">
            <w:pPr>
              <w:jc w:val="center"/>
              <w:rPr>
                <w:b/>
                <w:bCs/>
                <w:color w:val="000000"/>
                <w:lang w:val="id-ID" w:eastAsia="id-ID"/>
              </w:rPr>
            </w:pPr>
            <w:r w:rsidRPr="00822472">
              <w:rPr>
                <w:b/>
                <w:bCs/>
                <w:color w:val="000000"/>
                <w:lang w:val="id-ID" w:eastAsia="id-ID"/>
              </w:rPr>
              <w:t>140,99</w:t>
            </w:r>
          </w:p>
        </w:tc>
      </w:tr>
    </w:tbl>
    <w:p w14:paraId="5FAED11F" w14:textId="7F8491AD" w:rsidR="00A335D6" w:rsidRPr="009D3C6B" w:rsidRDefault="00A335D6" w:rsidP="00314E97">
      <w:pPr>
        <w:autoSpaceDE w:val="0"/>
        <w:autoSpaceDN w:val="0"/>
        <w:adjustRightInd w:val="0"/>
        <w:spacing w:line="360" w:lineRule="auto"/>
        <w:ind w:left="426" w:firstLine="992"/>
        <w:jc w:val="both"/>
        <w:rPr>
          <w:color w:val="000000"/>
          <w:lang w:val="id-ID"/>
        </w:rPr>
      </w:pPr>
      <w:r w:rsidRPr="009D3C6B">
        <w:rPr>
          <w:color w:val="000000"/>
          <w:lang w:val="id-ID"/>
        </w:rPr>
        <w:t>Sumber  data :  Hasil  Penelitian  tahun 2019</w:t>
      </w:r>
      <w:r w:rsidR="00D216B6" w:rsidRPr="009D3C6B">
        <w:rPr>
          <w:color w:val="000000"/>
          <w:lang w:val="id-ID"/>
        </w:rPr>
        <w:t>\</w:t>
      </w:r>
    </w:p>
    <w:p w14:paraId="0E6F296C" w14:textId="77777777" w:rsidR="00B4308A" w:rsidRPr="009D3C6B" w:rsidRDefault="00E758E0" w:rsidP="00B4308A">
      <w:pPr>
        <w:autoSpaceDE w:val="0"/>
        <w:autoSpaceDN w:val="0"/>
        <w:adjustRightInd w:val="0"/>
        <w:spacing w:line="360" w:lineRule="auto"/>
        <w:ind w:left="426"/>
        <w:jc w:val="both"/>
        <w:rPr>
          <w:color w:val="000000"/>
          <w:lang w:val="id-ID"/>
        </w:rPr>
      </w:pPr>
      <w:r w:rsidRPr="009D3C6B">
        <w:rPr>
          <w:color w:val="000000"/>
          <w:lang w:val="id-ID"/>
        </w:rPr>
        <w:t xml:space="preserve">Tabel  diatas  menunjukan   bahwa  terdapat  ketimpangan pembangunan  ekonomi  dan ketimpangan  distribusi   Pendapatan </w:t>
      </w:r>
      <w:r w:rsidR="003E68D9" w:rsidRPr="009D3C6B">
        <w:rPr>
          <w:color w:val="000000"/>
          <w:lang w:val="id-ID"/>
        </w:rPr>
        <w:t xml:space="preserve"> yang cukup signifikan</w:t>
      </w:r>
      <w:r w:rsidRPr="009D3C6B">
        <w:rPr>
          <w:color w:val="000000"/>
          <w:lang w:val="id-ID"/>
        </w:rPr>
        <w:t xml:space="preserve"> antar Kabupaten</w:t>
      </w:r>
      <w:r w:rsidR="003E68D9" w:rsidRPr="009D3C6B">
        <w:rPr>
          <w:color w:val="000000"/>
          <w:lang w:val="id-ID"/>
        </w:rPr>
        <w:t>/kota  di  p</w:t>
      </w:r>
      <w:r w:rsidR="00D216B6" w:rsidRPr="009D3C6B">
        <w:rPr>
          <w:color w:val="000000"/>
          <w:lang w:val="id-ID"/>
        </w:rPr>
        <w:t>ropinsi  Nusa Tenggara Timur pada  periode 2013-2018.</w:t>
      </w:r>
    </w:p>
    <w:p w14:paraId="7D761EBB" w14:textId="77777777" w:rsidR="00B4308A" w:rsidRPr="009D3C6B" w:rsidRDefault="00B4308A" w:rsidP="00B4308A">
      <w:pPr>
        <w:autoSpaceDE w:val="0"/>
        <w:autoSpaceDN w:val="0"/>
        <w:adjustRightInd w:val="0"/>
        <w:spacing w:line="360" w:lineRule="auto"/>
        <w:ind w:left="426"/>
        <w:jc w:val="both"/>
        <w:rPr>
          <w:color w:val="000000"/>
          <w:lang w:val="id-ID"/>
        </w:rPr>
      </w:pPr>
    </w:p>
    <w:p w14:paraId="3785F846" w14:textId="77777777" w:rsidR="00B4308A" w:rsidRPr="009D3C6B" w:rsidRDefault="00B4308A" w:rsidP="00B4308A">
      <w:pPr>
        <w:autoSpaceDE w:val="0"/>
        <w:autoSpaceDN w:val="0"/>
        <w:adjustRightInd w:val="0"/>
        <w:spacing w:line="360" w:lineRule="auto"/>
        <w:ind w:left="426"/>
        <w:jc w:val="both"/>
        <w:rPr>
          <w:color w:val="000000"/>
          <w:lang w:val="id-ID"/>
        </w:rPr>
      </w:pPr>
    </w:p>
    <w:p w14:paraId="29927783" w14:textId="77777777" w:rsidR="00B4308A" w:rsidRPr="009D3C6B" w:rsidRDefault="00B4308A" w:rsidP="00B4308A">
      <w:pPr>
        <w:autoSpaceDE w:val="0"/>
        <w:autoSpaceDN w:val="0"/>
        <w:adjustRightInd w:val="0"/>
        <w:spacing w:line="360" w:lineRule="auto"/>
        <w:ind w:left="426"/>
        <w:jc w:val="both"/>
        <w:rPr>
          <w:color w:val="000000"/>
          <w:lang w:val="id-ID"/>
        </w:rPr>
      </w:pPr>
    </w:p>
    <w:p w14:paraId="3D484813" w14:textId="108DF9AF" w:rsidR="00B4308A" w:rsidRPr="009D3C6B" w:rsidRDefault="00B4308A" w:rsidP="00B4308A">
      <w:pPr>
        <w:pStyle w:val="ListParagraph"/>
        <w:numPr>
          <w:ilvl w:val="0"/>
          <w:numId w:val="16"/>
        </w:numPr>
        <w:autoSpaceDE w:val="0"/>
        <w:autoSpaceDN w:val="0"/>
        <w:adjustRightInd w:val="0"/>
        <w:spacing w:line="360" w:lineRule="auto"/>
        <w:ind w:left="426" w:hanging="284"/>
        <w:jc w:val="both"/>
        <w:rPr>
          <w:b/>
          <w:color w:val="000000"/>
          <w:lang w:val="id-ID"/>
        </w:rPr>
      </w:pPr>
      <w:r w:rsidRPr="009D3C6B">
        <w:rPr>
          <w:b/>
          <w:color w:val="000000"/>
          <w:lang w:val="id-ID"/>
        </w:rPr>
        <w:lastRenderedPageBreak/>
        <w:t xml:space="preserve"> Ketimpangan   Pembangunan    Antar  Kabupaten kota  di  NTT Periode  2013-2018</w:t>
      </w:r>
      <w:r w:rsidR="00FD7512" w:rsidRPr="009D3C6B">
        <w:rPr>
          <w:b/>
          <w:color w:val="000000"/>
          <w:lang w:val="id-ID"/>
        </w:rPr>
        <w:t xml:space="preserve">   dengan  Indeks Williamson </w:t>
      </w:r>
    </w:p>
    <w:p w14:paraId="41563A7C" w14:textId="5994D1FA" w:rsidR="00E758E0" w:rsidRDefault="00D216B6" w:rsidP="00BA77C0">
      <w:pPr>
        <w:autoSpaceDE w:val="0"/>
        <w:autoSpaceDN w:val="0"/>
        <w:adjustRightInd w:val="0"/>
        <w:spacing w:line="360" w:lineRule="auto"/>
        <w:ind w:firstLine="720"/>
        <w:jc w:val="both"/>
        <w:rPr>
          <w:color w:val="000000"/>
          <w:lang w:val="id-ID"/>
        </w:rPr>
      </w:pPr>
      <w:r w:rsidRPr="009D3C6B">
        <w:rPr>
          <w:color w:val="000000"/>
          <w:lang w:val="id-ID"/>
        </w:rPr>
        <w:t xml:space="preserve"> Berdasarkan  hasil  Perhitungan  Indeks  Williamson  bahwa  ketimpangan   pembangunan  antar  kabupaten  di propinsi NTT  rendah atau  merata,  dengan  nilai  IW   </w:t>
      </w:r>
      <w:r w:rsidR="00B54972" w:rsidRPr="009D3C6B">
        <w:rPr>
          <w:color w:val="000000"/>
          <w:lang w:val="id-ID"/>
        </w:rPr>
        <w:t xml:space="preserve">sebesar   0,02  untuk  kabupaten  Rotendao  sampai </w:t>
      </w:r>
      <w:r w:rsidRPr="009D3C6B">
        <w:rPr>
          <w:color w:val="000000"/>
          <w:lang w:val="id-ID"/>
        </w:rPr>
        <w:t>0</w:t>
      </w:r>
      <w:r w:rsidR="00B54972" w:rsidRPr="009D3C6B">
        <w:rPr>
          <w:color w:val="000000"/>
          <w:lang w:val="id-ID"/>
        </w:rPr>
        <w:t xml:space="preserve">,27 </w:t>
      </w:r>
      <w:r w:rsidRPr="009D3C6B">
        <w:rPr>
          <w:color w:val="000000"/>
          <w:lang w:val="id-ID"/>
        </w:rPr>
        <w:t xml:space="preserve"> </w:t>
      </w:r>
      <w:r w:rsidR="00B54972" w:rsidRPr="009D3C6B">
        <w:rPr>
          <w:color w:val="000000"/>
          <w:lang w:val="id-ID"/>
        </w:rPr>
        <w:t xml:space="preserve"> untuk  kabupaten  Sumba Barat Daya sedang  indeks Williamson   kota  kupang   sebesar  1,49 hal ini  mtengindikasikan  bahwa  memiliki  ketimpangan  yang  </w:t>
      </w:r>
      <w:r w:rsidR="00BA77C0" w:rsidRPr="009D3C6B">
        <w:rPr>
          <w:color w:val="000000"/>
          <w:lang w:val="id-ID"/>
        </w:rPr>
        <w:t xml:space="preserve">sangat </w:t>
      </w:r>
      <w:r w:rsidR="00B54972" w:rsidRPr="009D3C6B">
        <w:rPr>
          <w:color w:val="000000"/>
          <w:lang w:val="id-ID"/>
        </w:rPr>
        <w:t xml:space="preserve">tinggi </w:t>
      </w:r>
      <w:r w:rsidR="00BA77C0" w:rsidRPr="009D3C6B">
        <w:rPr>
          <w:color w:val="000000"/>
          <w:lang w:val="id-ID"/>
        </w:rPr>
        <w:t xml:space="preserve">antara kota kupang </w:t>
      </w:r>
      <w:r w:rsidR="00B54972" w:rsidRPr="009D3C6B">
        <w:rPr>
          <w:color w:val="000000"/>
          <w:lang w:val="id-ID"/>
        </w:rPr>
        <w:t>dengan  kabupaten</w:t>
      </w:r>
      <w:r w:rsidR="00BA77C0" w:rsidRPr="009D3C6B">
        <w:rPr>
          <w:color w:val="000000"/>
          <w:lang w:val="id-ID"/>
        </w:rPr>
        <w:t xml:space="preserve"> sumba barat daya daya dan juga kabupaten </w:t>
      </w:r>
      <w:r w:rsidR="00B54972" w:rsidRPr="009D3C6B">
        <w:rPr>
          <w:color w:val="000000"/>
          <w:lang w:val="id-ID"/>
        </w:rPr>
        <w:t xml:space="preserve"> lainnya  di Propinsi  Nusa Tenggara  Timur pad</w:t>
      </w:r>
      <w:r w:rsidR="00BA77C0" w:rsidRPr="009D3C6B">
        <w:rPr>
          <w:color w:val="000000"/>
          <w:lang w:val="id-ID"/>
        </w:rPr>
        <w:t>a</w:t>
      </w:r>
      <w:r w:rsidR="00B54972" w:rsidRPr="009D3C6B">
        <w:rPr>
          <w:color w:val="000000"/>
          <w:lang w:val="id-ID"/>
        </w:rPr>
        <w:t xml:space="preserve">  periode 2013-2018.   Ternd  Ketimpangan  antar kabupaten./kota  berdasarkan  Analisis  Indeks Williamson  dapat  dilihat pada  Grafik  berikut :</w:t>
      </w:r>
    </w:p>
    <w:p w14:paraId="70F6EEF3" w14:textId="77777777" w:rsidR="00761056" w:rsidRPr="009D3C6B" w:rsidRDefault="00761056" w:rsidP="00761056">
      <w:pPr>
        <w:pStyle w:val="NormalWeb"/>
        <w:spacing w:before="0" w:beforeAutospacing="0" w:after="0" w:afterAutospacing="0"/>
        <w:jc w:val="center"/>
        <w:rPr>
          <w:rFonts w:eastAsia="+mn-ea"/>
          <w:b/>
          <w:color w:val="000000"/>
        </w:rPr>
      </w:pPr>
      <w:r w:rsidRPr="009D3C6B">
        <w:rPr>
          <w:rFonts w:eastAsia="+mn-ea"/>
          <w:b/>
          <w:color w:val="000000"/>
        </w:rPr>
        <w:t xml:space="preserve">Grafik.3.   Indeks Williamson  Kabupaten/kota  </w:t>
      </w:r>
    </w:p>
    <w:p w14:paraId="3D764FE4" w14:textId="131485E8" w:rsidR="00761056" w:rsidRPr="009D3C6B" w:rsidRDefault="00761056" w:rsidP="00761056">
      <w:pPr>
        <w:pStyle w:val="NormalWeb"/>
        <w:spacing w:before="0" w:beforeAutospacing="0" w:after="0" w:afterAutospacing="0"/>
        <w:jc w:val="center"/>
        <w:rPr>
          <w:rFonts w:eastAsia="+mn-ea"/>
          <w:b/>
          <w:color w:val="000000"/>
        </w:rPr>
      </w:pPr>
      <w:r w:rsidRPr="009D3C6B">
        <w:rPr>
          <w:rFonts w:eastAsia="+mn-ea"/>
          <w:b/>
          <w:color w:val="000000"/>
        </w:rPr>
        <w:t>Propinsi  Nusa Tenggara Timur  peride 2013-2018</w:t>
      </w:r>
    </w:p>
    <w:p w14:paraId="36DA0A93" w14:textId="77777777" w:rsidR="00581CD2" w:rsidRPr="009D3C6B" w:rsidRDefault="00581CD2" w:rsidP="00761056">
      <w:pPr>
        <w:pStyle w:val="NormalWeb"/>
        <w:spacing w:before="0" w:beforeAutospacing="0" w:after="0" w:afterAutospacing="0"/>
        <w:jc w:val="center"/>
        <w:rPr>
          <w:rFonts w:eastAsia="+mn-ea"/>
          <w:b/>
          <w:color w:val="000000"/>
        </w:rPr>
      </w:pPr>
    </w:p>
    <w:p w14:paraId="65D46E69" w14:textId="00694C8F" w:rsidR="00581CD2" w:rsidRPr="009D3C6B" w:rsidRDefault="00581CD2" w:rsidP="00C24F43">
      <w:pPr>
        <w:pStyle w:val="NormalWeb"/>
        <w:spacing w:before="0" w:beforeAutospacing="0" w:after="0" w:afterAutospacing="0"/>
        <w:rPr>
          <w:rFonts w:eastAsia="+mn-ea"/>
          <w:b/>
          <w:color w:val="000000"/>
        </w:rPr>
      </w:pPr>
    </w:p>
    <w:p w14:paraId="1561C4CA" w14:textId="66C71476" w:rsidR="00761056" w:rsidRPr="009D3C6B" w:rsidRDefault="00C24F43" w:rsidP="00C24F43">
      <w:pPr>
        <w:pStyle w:val="NormalWeb"/>
        <w:spacing w:before="0" w:beforeAutospacing="0" w:after="0" w:afterAutospacing="0"/>
      </w:pPr>
      <w:r w:rsidRPr="009D3C6B">
        <w:rPr>
          <w:noProof/>
        </w:rPr>
        <w:drawing>
          <wp:inline distT="0" distB="0" distL="0" distR="0" wp14:anchorId="7E68D52B" wp14:editId="417A3386">
            <wp:extent cx="5486400" cy="39243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3E4F3E" w14:textId="2E6A7B95" w:rsidR="00314E97" w:rsidRDefault="00932152" w:rsidP="00C24F43">
      <w:pPr>
        <w:autoSpaceDE w:val="0"/>
        <w:autoSpaceDN w:val="0"/>
        <w:adjustRightInd w:val="0"/>
        <w:spacing w:line="360" w:lineRule="auto"/>
        <w:ind w:left="426" w:firstLine="992"/>
        <w:rPr>
          <w:color w:val="000000"/>
          <w:lang w:val="id-ID"/>
        </w:rPr>
      </w:pPr>
      <w:bookmarkStart w:id="2" w:name="RANGE!A65:J103"/>
      <w:bookmarkEnd w:id="2"/>
      <w:r>
        <w:rPr>
          <w:color w:val="000000"/>
          <w:lang w:val="id-ID"/>
        </w:rPr>
        <w:t>Hasil Pe</w:t>
      </w:r>
      <w:r w:rsidR="00314E97" w:rsidRPr="009D3C6B">
        <w:rPr>
          <w:color w:val="000000"/>
          <w:lang w:val="id-ID"/>
        </w:rPr>
        <w:t>nelitian Tahun  2019</w:t>
      </w:r>
    </w:p>
    <w:p w14:paraId="05551464" w14:textId="77777777" w:rsidR="00C24F43" w:rsidRPr="009D3C6B" w:rsidRDefault="00C24F43" w:rsidP="00C24F43">
      <w:pPr>
        <w:autoSpaceDE w:val="0"/>
        <w:autoSpaceDN w:val="0"/>
        <w:adjustRightInd w:val="0"/>
        <w:spacing w:line="360" w:lineRule="auto"/>
        <w:ind w:left="426" w:firstLine="992"/>
        <w:rPr>
          <w:color w:val="000000"/>
          <w:lang w:val="id-ID"/>
        </w:rPr>
      </w:pPr>
    </w:p>
    <w:p w14:paraId="030CF333" w14:textId="362AAC8B" w:rsidR="00AD79C0" w:rsidRPr="009D3C6B" w:rsidRDefault="00314E97" w:rsidP="00BA77C0">
      <w:pPr>
        <w:autoSpaceDE w:val="0"/>
        <w:autoSpaceDN w:val="0"/>
        <w:adjustRightInd w:val="0"/>
        <w:spacing w:line="360" w:lineRule="auto"/>
        <w:ind w:left="709" w:hanging="709"/>
        <w:jc w:val="both"/>
        <w:rPr>
          <w:color w:val="000000"/>
          <w:lang w:val="id-ID"/>
        </w:rPr>
      </w:pPr>
      <w:r w:rsidRPr="009D3C6B">
        <w:rPr>
          <w:color w:val="000000"/>
          <w:lang w:val="id-ID"/>
        </w:rPr>
        <w:tab/>
        <w:t>Grafik  diatas   adalah  grafik  hasil  perhitunga</w:t>
      </w:r>
      <w:r w:rsidR="003B346B" w:rsidRPr="009D3C6B">
        <w:rPr>
          <w:color w:val="000000"/>
          <w:lang w:val="id-ID"/>
        </w:rPr>
        <w:t>n  Indeks  Williamson   kabupaten</w:t>
      </w:r>
      <w:r w:rsidRPr="009D3C6B">
        <w:rPr>
          <w:color w:val="000000"/>
          <w:lang w:val="id-ID"/>
        </w:rPr>
        <w:t xml:space="preserve">/  kota  di  Provinsi  </w:t>
      </w:r>
      <w:smartTag w:uri="urn:schemas-microsoft-com:office:smarttags" w:element="stockticker">
        <w:r w:rsidRPr="009D3C6B">
          <w:rPr>
            <w:color w:val="000000"/>
            <w:lang w:val="id-ID"/>
          </w:rPr>
          <w:t>NTT</w:t>
        </w:r>
      </w:smartTag>
      <w:r w:rsidRPr="009D3C6B">
        <w:rPr>
          <w:color w:val="000000"/>
          <w:lang w:val="id-ID"/>
        </w:rPr>
        <w:t xml:space="preserve">, yang  mana hasil perhitungan IW </w:t>
      </w:r>
      <w:r w:rsidR="003B346B" w:rsidRPr="009D3C6B">
        <w:rPr>
          <w:color w:val="000000"/>
          <w:lang w:val="id-ID"/>
        </w:rPr>
        <w:t>berada pada kisaran  angka  0,02</w:t>
      </w:r>
      <w:r w:rsidRPr="009D3C6B">
        <w:rPr>
          <w:color w:val="000000"/>
          <w:lang w:val="id-ID"/>
        </w:rPr>
        <w:t xml:space="preserve"> sampai 0,</w:t>
      </w:r>
      <w:r w:rsidR="003B346B" w:rsidRPr="009D3C6B">
        <w:rPr>
          <w:color w:val="000000"/>
          <w:lang w:val="id-ID"/>
        </w:rPr>
        <w:t>27</w:t>
      </w:r>
      <w:r w:rsidRPr="009D3C6B">
        <w:rPr>
          <w:color w:val="000000"/>
          <w:lang w:val="id-ID"/>
        </w:rPr>
        <w:t xml:space="preserve"> hampir di semua kabupaten,  hal  tersebut  </w:t>
      </w:r>
      <w:r w:rsidRPr="009D3C6B">
        <w:rPr>
          <w:color w:val="000000"/>
          <w:lang w:val="id-ID"/>
        </w:rPr>
        <w:lastRenderedPageBreak/>
        <w:t xml:space="preserve">mengindikasikan bahwa </w:t>
      </w:r>
      <w:r w:rsidR="003B346B" w:rsidRPr="009D3C6B">
        <w:rPr>
          <w:color w:val="000000"/>
          <w:lang w:val="id-ID"/>
        </w:rPr>
        <w:t xml:space="preserve">Ketimpangan pembangunan </w:t>
      </w:r>
      <w:r w:rsidR="00BA77C0" w:rsidRPr="009D3C6B">
        <w:rPr>
          <w:color w:val="000000"/>
          <w:lang w:val="id-ID"/>
        </w:rPr>
        <w:t xml:space="preserve">sektor sektor ekonomi </w:t>
      </w:r>
      <w:r w:rsidRPr="009D3C6B">
        <w:rPr>
          <w:color w:val="000000"/>
          <w:lang w:val="id-ID"/>
        </w:rPr>
        <w:t xml:space="preserve"> </w:t>
      </w:r>
      <w:r w:rsidR="003B346B" w:rsidRPr="009D3C6B">
        <w:rPr>
          <w:color w:val="000000"/>
          <w:lang w:val="id-ID"/>
        </w:rPr>
        <w:t>di 21 kabupaten di propinsi NTT</w:t>
      </w:r>
      <w:r w:rsidRPr="009D3C6B">
        <w:rPr>
          <w:color w:val="000000"/>
          <w:lang w:val="id-ID"/>
        </w:rPr>
        <w:t xml:space="preserve">  </w:t>
      </w:r>
      <w:r w:rsidR="00BA77C0" w:rsidRPr="009D3C6B">
        <w:rPr>
          <w:b/>
          <w:color w:val="000000"/>
          <w:lang w:val="id-ID"/>
        </w:rPr>
        <w:t xml:space="preserve">sangat </w:t>
      </w:r>
      <w:r w:rsidRPr="009D3C6B">
        <w:rPr>
          <w:b/>
          <w:color w:val="000000"/>
          <w:lang w:val="id-ID"/>
        </w:rPr>
        <w:t>merata</w:t>
      </w:r>
      <w:r w:rsidRPr="009D3C6B">
        <w:rPr>
          <w:color w:val="000000"/>
          <w:lang w:val="id-ID"/>
        </w:rPr>
        <w:t xml:space="preserve">  </w:t>
      </w:r>
      <w:r w:rsidR="003B346B" w:rsidRPr="009D3C6B">
        <w:rPr>
          <w:color w:val="000000"/>
          <w:lang w:val="id-ID"/>
        </w:rPr>
        <w:t xml:space="preserve">(Ketimpangan rendah)  </w:t>
      </w:r>
      <w:r w:rsidRPr="009D3C6B">
        <w:rPr>
          <w:color w:val="000000"/>
          <w:lang w:val="id-ID"/>
        </w:rPr>
        <w:t xml:space="preserve">kecuali   Kota Kupang yang </w:t>
      </w:r>
      <w:r w:rsidR="003B346B" w:rsidRPr="009D3C6B">
        <w:rPr>
          <w:color w:val="000000"/>
          <w:lang w:val="id-ID"/>
        </w:rPr>
        <w:t xml:space="preserve">memiliki   nilai IW sebesar  1,49  </w:t>
      </w:r>
      <w:r w:rsidRPr="009D3C6B">
        <w:rPr>
          <w:color w:val="000000"/>
          <w:lang w:val="id-ID"/>
        </w:rPr>
        <w:t xml:space="preserve">hal ini  mengindikasikan bahwa </w:t>
      </w:r>
      <w:r w:rsidR="003B346B" w:rsidRPr="009D3C6B">
        <w:rPr>
          <w:color w:val="000000"/>
          <w:lang w:val="id-ID"/>
        </w:rPr>
        <w:t xml:space="preserve">Ketimpangan Pembangunan sektor  Ekonomi </w:t>
      </w:r>
      <w:r w:rsidRPr="009D3C6B">
        <w:rPr>
          <w:color w:val="000000"/>
          <w:lang w:val="id-ID"/>
        </w:rPr>
        <w:t xml:space="preserve"> </w:t>
      </w:r>
      <w:r w:rsidRPr="009D3C6B">
        <w:rPr>
          <w:b/>
          <w:color w:val="000000"/>
          <w:lang w:val="id-ID"/>
        </w:rPr>
        <w:t>Kota Kupang</w:t>
      </w:r>
      <w:r w:rsidR="00BA77C0" w:rsidRPr="009D3C6B">
        <w:rPr>
          <w:color w:val="000000"/>
          <w:lang w:val="id-ID"/>
        </w:rPr>
        <w:t xml:space="preserve"> </w:t>
      </w:r>
      <w:r w:rsidR="00BA77C0" w:rsidRPr="009D3C6B">
        <w:rPr>
          <w:b/>
          <w:color w:val="000000"/>
          <w:lang w:val="id-ID"/>
        </w:rPr>
        <w:t xml:space="preserve">sangat </w:t>
      </w:r>
      <w:r w:rsidRPr="009D3C6B">
        <w:rPr>
          <w:b/>
          <w:color w:val="000000"/>
          <w:lang w:val="id-ID"/>
        </w:rPr>
        <w:t xml:space="preserve"> </w:t>
      </w:r>
      <w:r w:rsidR="00BA77C0" w:rsidRPr="009D3C6B">
        <w:rPr>
          <w:b/>
          <w:color w:val="000000"/>
          <w:lang w:val="id-ID"/>
        </w:rPr>
        <w:t xml:space="preserve">tinggi </w:t>
      </w:r>
      <w:r w:rsidR="00BA77C0" w:rsidRPr="009D3C6B">
        <w:rPr>
          <w:color w:val="000000"/>
          <w:lang w:val="id-ID"/>
        </w:rPr>
        <w:t xml:space="preserve"> (</w:t>
      </w:r>
      <w:r w:rsidR="00BA77C0" w:rsidRPr="009D3C6B">
        <w:rPr>
          <w:b/>
          <w:color w:val="000000"/>
          <w:lang w:val="id-ID"/>
        </w:rPr>
        <w:t>sangat timpang</w:t>
      </w:r>
      <w:r w:rsidR="003B346B" w:rsidRPr="009D3C6B">
        <w:rPr>
          <w:color w:val="000000"/>
          <w:lang w:val="id-ID"/>
        </w:rPr>
        <w:t xml:space="preserve">) </w:t>
      </w:r>
      <w:r w:rsidR="00FA2EF4" w:rsidRPr="009D3C6B">
        <w:rPr>
          <w:color w:val="000000"/>
          <w:lang w:val="id-ID"/>
        </w:rPr>
        <w:t xml:space="preserve"> </w:t>
      </w:r>
      <w:r w:rsidRPr="009D3C6B">
        <w:rPr>
          <w:color w:val="000000"/>
          <w:lang w:val="id-ID"/>
        </w:rPr>
        <w:t>dibandingkan dengan kabupaten-kabupaten lainnya  di  provinsi  NTT pada  periode 2013-2018.</w:t>
      </w:r>
      <w:r w:rsidR="007C0F6F" w:rsidRPr="009D3C6B">
        <w:rPr>
          <w:color w:val="000000"/>
          <w:lang w:val="id-ID"/>
        </w:rPr>
        <w:t xml:space="preserve"> Hal tersebut di sebabkan </w:t>
      </w:r>
      <w:r w:rsidR="003B346B" w:rsidRPr="009D3C6B">
        <w:rPr>
          <w:color w:val="000000"/>
          <w:lang w:val="id-ID"/>
        </w:rPr>
        <w:t>karena  kota  K</w:t>
      </w:r>
      <w:r w:rsidR="007C0F6F" w:rsidRPr="009D3C6B">
        <w:rPr>
          <w:color w:val="000000"/>
          <w:lang w:val="id-ID"/>
        </w:rPr>
        <w:t xml:space="preserve">upang  merupakan  ibukota  propinsi NTT   yang tentunya </w:t>
      </w:r>
      <w:r w:rsidR="00761056" w:rsidRPr="009D3C6B">
        <w:rPr>
          <w:color w:val="000000"/>
          <w:lang w:val="id-ID"/>
        </w:rPr>
        <w:t>memiliki konsentrasi kegiatan ekonomi seperti</w:t>
      </w:r>
      <w:r w:rsidR="007C0F6F" w:rsidRPr="009D3C6B">
        <w:rPr>
          <w:color w:val="000000"/>
          <w:lang w:val="id-ID"/>
        </w:rPr>
        <w:t xml:space="preserve">  pusat perdaga</w:t>
      </w:r>
      <w:r w:rsidR="00761056" w:rsidRPr="009D3C6B">
        <w:rPr>
          <w:color w:val="000000"/>
          <w:lang w:val="id-ID"/>
        </w:rPr>
        <w:t>ngan, industri, alokasi Anggaran Investasi (pemerintah dan swasta),</w:t>
      </w:r>
      <w:r w:rsidR="00440A4C" w:rsidRPr="009D3C6B">
        <w:rPr>
          <w:color w:val="000000"/>
          <w:lang w:val="id-ID"/>
        </w:rPr>
        <w:t xml:space="preserve"> dan  infrastruktur  lainnya  </w:t>
      </w:r>
      <w:r w:rsidR="007C0F6F" w:rsidRPr="009D3C6B">
        <w:rPr>
          <w:color w:val="000000"/>
          <w:lang w:val="id-ID"/>
        </w:rPr>
        <w:t xml:space="preserve">  yang lebih  baik  </w:t>
      </w:r>
      <w:r w:rsidR="00440A4C" w:rsidRPr="009D3C6B">
        <w:rPr>
          <w:color w:val="000000"/>
          <w:lang w:val="id-ID"/>
        </w:rPr>
        <w:t xml:space="preserve"> di bandingkan dengan  tingkat  kabupaten.</w:t>
      </w:r>
      <w:r w:rsidR="00761056" w:rsidRPr="009D3C6B">
        <w:rPr>
          <w:color w:val="000000"/>
          <w:lang w:val="id-ID"/>
        </w:rPr>
        <w:t xml:space="preserve"> </w:t>
      </w:r>
      <w:r w:rsidR="00E12CB6" w:rsidRPr="009D3C6B">
        <w:rPr>
          <w:color w:val="000000"/>
          <w:lang w:val="id-ID"/>
        </w:rPr>
        <w:t xml:space="preserve"> Konsentrasi aktivitas  kegiatan  ekonomi  yang tinggi tersebut  yang  dapat mendorong  meningkatnya ketimpangan karena proses pemba</w:t>
      </w:r>
      <w:r w:rsidR="003B346B" w:rsidRPr="009D3C6B">
        <w:rPr>
          <w:color w:val="000000"/>
          <w:lang w:val="id-ID"/>
        </w:rPr>
        <w:t xml:space="preserve">gunan  daerah akan  lebih cepat, </w:t>
      </w:r>
    </w:p>
    <w:p w14:paraId="22DAA9B8" w14:textId="77777777" w:rsidR="00AD79C0" w:rsidRPr="009D3C6B" w:rsidRDefault="00AD79C0" w:rsidP="00136C97">
      <w:pPr>
        <w:pStyle w:val="NoSpacing"/>
        <w:spacing w:line="360" w:lineRule="auto"/>
        <w:ind w:left="709" w:hanging="425"/>
        <w:jc w:val="both"/>
        <w:rPr>
          <w:rFonts w:ascii="Times New Roman" w:hAnsi="Times New Roman" w:cs="Times New Roman"/>
          <w:b/>
          <w:color w:val="000000"/>
          <w:sz w:val="24"/>
          <w:szCs w:val="24"/>
          <w:lang w:val="id-ID"/>
        </w:rPr>
      </w:pPr>
    </w:p>
    <w:p w14:paraId="384CA4A6" w14:textId="5B63868D" w:rsidR="00136C97" w:rsidRPr="009D3C6B" w:rsidRDefault="00136C97" w:rsidP="00AD79C0">
      <w:pPr>
        <w:pStyle w:val="NoSpacing"/>
        <w:spacing w:line="360" w:lineRule="auto"/>
        <w:ind w:left="284" w:hanging="284"/>
        <w:jc w:val="both"/>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t>2.</w:t>
      </w:r>
      <w:r w:rsidR="00881F35" w:rsidRPr="009D3C6B">
        <w:rPr>
          <w:rFonts w:ascii="Times New Roman" w:hAnsi="Times New Roman" w:cs="Times New Roman"/>
          <w:b/>
          <w:color w:val="000000"/>
          <w:sz w:val="24"/>
          <w:szCs w:val="24"/>
          <w:lang w:val="id-ID"/>
        </w:rPr>
        <w:t xml:space="preserve"> </w:t>
      </w:r>
      <w:r w:rsidR="00CE0A83" w:rsidRPr="009D3C6B">
        <w:rPr>
          <w:rFonts w:ascii="Times New Roman" w:hAnsi="Times New Roman" w:cs="Times New Roman"/>
          <w:b/>
          <w:color w:val="000000"/>
          <w:sz w:val="24"/>
          <w:szCs w:val="24"/>
          <w:lang w:val="id-ID"/>
        </w:rPr>
        <w:t xml:space="preserve">Ketimpangan  </w:t>
      </w:r>
      <w:r w:rsidR="00FD7512" w:rsidRPr="009D3C6B">
        <w:rPr>
          <w:rFonts w:ascii="Times New Roman" w:hAnsi="Times New Roman" w:cs="Times New Roman"/>
          <w:b/>
          <w:color w:val="000000"/>
          <w:sz w:val="24"/>
          <w:szCs w:val="24"/>
          <w:lang w:val="id-ID"/>
        </w:rPr>
        <w:t>Pembagunan</w:t>
      </w:r>
      <w:r w:rsidRPr="009D3C6B">
        <w:rPr>
          <w:rFonts w:ascii="Times New Roman" w:hAnsi="Times New Roman" w:cs="Times New Roman"/>
          <w:b/>
          <w:color w:val="000000"/>
          <w:sz w:val="24"/>
          <w:szCs w:val="24"/>
          <w:lang w:val="id-ID"/>
        </w:rPr>
        <w:t xml:space="preserve">  </w:t>
      </w:r>
      <w:r w:rsidR="00AD79C0" w:rsidRPr="009D3C6B">
        <w:rPr>
          <w:rFonts w:ascii="Times New Roman" w:hAnsi="Times New Roman" w:cs="Times New Roman"/>
          <w:b/>
          <w:color w:val="000000"/>
          <w:sz w:val="24"/>
          <w:szCs w:val="24"/>
          <w:lang w:val="id-ID"/>
        </w:rPr>
        <w:t xml:space="preserve">antar kabupaten/kota </w:t>
      </w:r>
      <w:r w:rsidRPr="009D3C6B">
        <w:rPr>
          <w:rFonts w:ascii="Times New Roman" w:hAnsi="Times New Roman" w:cs="Times New Roman"/>
          <w:b/>
          <w:color w:val="000000"/>
          <w:sz w:val="24"/>
          <w:szCs w:val="24"/>
          <w:lang w:val="id-ID"/>
        </w:rPr>
        <w:t xml:space="preserve"> Pr</w:t>
      </w:r>
      <w:r w:rsidR="00FD7512" w:rsidRPr="009D3C6B">
        <w:rPr>
          <w:rFonts w:ascii="Times New Roman" w:hAnsi="Times New Roman" w:cs="Times New Roman"/>
          <w:b/>
          <w:color w:val="000000"/>
          <w:sz w:val="24"/>
          <w:szCs w:val="24"/>
          <w:lang w:val="id-ID"/>
        </w:rPr>
        <w:t>opinsi  NTT  periode 2013-2018  dengan  pendekatan  Indeks  Entropi  Theil.</w:t>
      </w:r>
    </w:p>
    <w:p w14:paraId="39C20F54" w14:textId="641D00F4" w:rsidR="00CE0A83" w:rsidRPr="009D3C6B" w:rsidRDefault="00CE0A83" w:rsidP="00AD79C0">
      <w:pPr>
        <w:pStyle w:val="NoSpacing"/>
        <w:spacing w:line="360" w:lineRule="auto"/>
        <w:ind w:firstLine="567"/>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Analisis Indeks  entropi Theil merupakan  salah satu alat  analisis  untuk menganalisis kecenderungan konsentrasi  geografis selama periode tertentu dan untuk memberi gambaran yang lebih detail    mengenai ketimpangan spasial antar  wilayah. Apabila Nilai Indeks Theil menunjukan angka semakin besar menunjukkan ketimpangan antar wilayah semakin besar,  dan apabila  semakin kecil nilai  Indeks Theil menunjukkan ketimpangan antar wilayah semakin rendah. dan nilai indeks Theil  ini  tidak memiliki batas atas dan batas bawah.</w:t>
      </w:r>
    </w:p>
    <w:p w14:paraId="1A2AE5B8" w14:textId="1C86DE4A" w:rsidR="00522BDB" w:rsidRDefault="00522BDB" w:rsidP="00AD79C0">
      <w:pPr>
        <w:pStyle w:val="NoSpacing"/>
        <w:spacing w:line="360" w:lineRule="auto"/>
        <w:ind w:firstLine="567"/>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t>Indeks Theil memiliki beberapa keunggulan yaitu: (1) Sifatnya yang tidak  sensitif terhadap skala daerah dan tidak terpengaruh oleh nilai – nilai ekstrem. (2) Indeks Theil independen terhadap jumlah daerah, sehingga dapat digunakan sebagai pembanding disparitas dari sistem regional yang berbeda – beda. (3) Indeks Theil  dapat didekomposisi ke dalam indeks ketidakmerataan antar kelompok daerah dan intra kelompok daerah (</w:t>
      </w:r>
      <w:r w:rsidRPr="009D3C6B">
        <w:rPr>
          <w:rFonts w:ascii="Times New Roman" w:hAnsi="Times New Roman" w:cs="Times New Roman"/>
          <w:i/>
          <w:color w:val="000000"/>
          <w:sz w:val="24"/>
          <w:szCs w:val="24"/>
          <w:lang w:val="id-ID"/>
        </w:rPr>
        <w:t>disparitas between dan disparitas within</w:t>
      </w:r>
      <w:r w:rsidRPr="009D3C6B">
        <w:rPr>
          <w:rFonts w:ascii="Times New Roman" w:hAnsi="Times New Roman" w:cs="Times New Roman"/>
          <w:color w:val="000000"/>
          <w:sz w:val="24"/>
          <w:szCs w:val="24"/>
          <w:lang w:val="id-ID"/>
        </w:rPr>
        <w:t xml:space="preserve">). </w:t>
      </w:r>
      <w:r w:rsidR="00AC4A18" w:rsidRPr="009D3C6B">
        <w:rPr>
          <w:rFonts w:ascii="Times New Roman" w:hAnsi="Times New Roman" w:cs="Times New Roman"/>
          <w:color w:val="000000"/>
          <w:sz w:val="24"/>
          <w:szCs w:val="24"/>
          <w:lang w:val="id-ID"/>
        </w:rPr>
        <w:t xml:space="preserve">Hasil  analisis Indeks </w:t>
      </w:r>
      <w:r w:rsidRPr="009D3C6B">
        <w:rPr>
          <w:rFonts w:ascii="Times New Roman" w:hAnsi="Times New Roman" w:cs="Times New Roman"/>
          <w:color w:val="000000"/>
          <w:sz w:val="24"/>
          <w:szCs w:val="24"/>
          <w:lang w:val="id-ID"/>
        </w:rPr>
        <w:t xml:space="preserve">Theil </w:t>
      </w:r>
      <w:r w:rsidR="00AC4A18" w:rsidRPr="009D3C6B">
        <w:rPr>
          <w:rFonts w:ascii="Times New Roman" w:hAnsi="Times New Roman" w:cs="Times New Roman"/>
          <w:color w:val="000000"/>
          <w:sz w:val="24"/>
          <w:szCs w:val="24"/>
          <w:lang w:val="id-ID"/>
        </w:rPr>
        <w:t xml:space="preserve">Intra  Kabupaten/kota </w:t>
      </w:r>
      <w:r w:rsidRPr="009D3C6B">
        <w:rPr>
          <w:rFonts w:ascii="Times New Roman" w:hAnsi="Times New Roman" w:cs="Times New Roman"/>
          <w:color w:val="000000"/>
          <w:sz w:val="24"/>
          <w:szCs w:val="24"/>
          <w:lang w:val="id-ID"/>
        </w:rPr>
        <w:t>Propinsi  Nusa Te</w:t>
      </w:r>
      <w:r w:rsidR="00F2344C" w:rsidRPr="009D3C6B">
        <w:rPr>
          <w:rFonts w:ascii="Times New Roman" w:hAnsi="Times New Roman" w:cs="Times New Roman"/>
          <w:color w:val="000000"/>
          <w:sz w:val="24"/>
          <w:szCs w:val="24"/>
          <w:lang w:val="id-ID"/>
        </w:rPr>
        <w:t>nggara  Timur  Periode 2013-2018</w:t>
      </w:r>
      <w:r w:rsidRPr="009D3C6B">
        <w:rPr>
          <w:rFonts w:ascii="Times New Roman" w:hAnsi="Times New Roman" w:cs="Times New Roman"/>
          <w:color w:val="000000"/>
          <w:sz w:val="24"/>
          <w:szCs w:val="24"/>
          <w:lang w:val="id-ID"/>
        </w:rPr>
        <w:t xml:space="preserve">  dapat  dilihat  pada  Grafik  </w:t>
      </w:r>
      <w:r w:rsidR="00881F35" w:rsidRPr="009D3C6B">
        <w:rPr>
          <w:rFonts w:ascii="Times New Roman" w:hAnsi="Times New Roman" w:cs="Times New Roman"/>
          <w:color w:val="000000"/>
          <w:sz w:val="24"/>
          <w:szCs w:val="24"/>
          <w:lang w:val="id-ID"/>
        </w:rPr>
        <w:t>berikut :</w:t>
      </w:r>
    </w:p>
    <w:p w14:paraId="2BFBF7B4" w14:textId="77777777" w:rsidR="00C24F43" w:rsidRDefault="00C24F43" w:rsidP="00AD79C0">
      <w:pPr>
        <w:pStyle w:val="NoSpacing"/>
        <w:spacing w:line="360" w:lineRule="auto"/>
        <w:ind w:firstLine="567"/>
        <w:jc w:val="both"/>
        <w:rPr>
          <w:rFonts w:ascii="Times New Roman" w:hAnsi="Times New Roman" w:cs="Times New Roman"/>
          <w:color w:val="000000"/>
          <w:sz w:val="24"/>
          <w:szCs w:val="24"/>
          <w:lang w:val="id-ID"/>
        </w:rPr>
      </w:pPr>
    </w:p>
    <w:p w14:paraId="7C5A70C8" w14:textId="77777777" w:rsidR="00C24F43" w:rsidRDefault="00C24F43" w:rsidP="00AD79C0">
      <w:pPr>
        <w:pStyle w:val="NoSpacing"/>
        <w:spacing w:line="360" w:lineRule="auto"/>
        <w:ind w:firstLine="567"/>
        <w:jc w:val="both"/>
        <w:rPr>
          <w:rFonts w:ascii="Times New Roman" w:hAnsi="Times New Roman" w:cs="Times New Roman"/>
          <w:color w:val="000000"/>
          <w:sz w:val="24"/>
          <w:szCs w:val="24"/>
          <w:lang w:val="id-ID"/>
        </w:rPr>
      </w:pPr>
    </w:p>
    <w:p w14:paraId="61E01C9A" w14:textId="1C3189CE" w:rsidR="00FF32F0" w:rsidRPr="009D3C6B" w:rsidRDefault="00FF32F0" w:rsidP="00FF32F0">
      <w:pPr>
        <w:pStyle w:val="NoSpacing"/>
        <w:spacing w:line="360" w:lineRule="auto"/>
        <w:jc w:val="center"/>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lastRenderedPageBreak/>
        <w:t>Grafik 4.    Hasil Perhitungan  Indeks  Theil  (Intra)  dan  Indeks Entropi Theil</w:t>
      </w:r>
    </w:p>
    <w:p w14:paraId="0E20D254" w14:textId="7E40F3E0" w:rsidR="00FF32F0" w:rsidRPr="009D3C6B" w:rsidRDefault="00FF32F0" w:rsidP="00FF32F0">
      <w:pPr>
        <w:pStyle w:val="NoSpacing"/>
        <w:spacing w:line="360" w:lineRule="auto"/>
        <w:jc w:val="center"/>
        <w:rPr>
          <w:rFonts w:ascii="Times New Roman" w:hAnsi="Times New Roman" w:cs="Times New Roman"/>
          <w:b/>
          <w:color w:val="000000"/>
          <w:sz w:val="24"/>
          <w:szCs w:val="24"/>
          <w:lang w:val="id-ID"/>
        </w:rPr>
      </w:pPr>
      <w:r w:rsidRPr="009D3C6B">
        <w:rPr>
          <w:rFonts w:ascii="Times New Roman" w:hAnsi="Times New Roman" w:cs="Times New Roman"/>
          <w:b/>
          <w:color w:val="000000"/>
          <w:sz w:val="24"/>
          <w:szCs w:val="24"/>
          <w:lang w:val="id-ID"/>
        </w:rPr>
        <w:t>Kabupaten/kota   propinsi Nusa Tenggara  Timur  Periode  2013-2018</w:t>
      </w:r>
    </w:p>
    <w:p w14:paraId="76EE24DE" w14:textId="29F9C9A8" w:rsidR="001733F1" w:rsidRPr="009D3C6B" w:rsidRDefault="001733F1" w:rsidP="00FF32F0">
      <w:pPr>
        <w:pStyle w:val="NoSpacing"/>
        <w:spacing w:line="360" w:lineRule="auto"/>
        <w:jc w:val="center"/>
        <w:rPr>
          <w:rFonts w:ascii="Times New Roman" w:hAnsi="Times New Roman" w:cs="Times New Roman"/>
          <w:b/>
          <w:color w:val="000000"/>
          <w:sz w:val="24"/>
          <w:szCs w:val="24"/>
          <w:lang w:val="id-ID"/>
        </w:rPr>
      </w:pPr>
      <w:r w:rsidRPr="009D3C6B">
        <w:rPr>
          <w:rFonts w:ascii="Times New Roman" w:hAnsi="Times New Roman" w:cs="Times New Roman"/>
          <w:noProof/>
          <w:sz w:val="24"/>
          <w:szCs w:val="24"/>
          <w:lang w:val="id-ID" w:eastAsia="id-ID"/>
        </w:rPr>
        <w:drawing>
          <wp:inline distT="0" distB="0" distL="0" distR="0" wp14:anchorId="6EB9F863" wp14:editId="54361463">
            <wp:extent cx="5486400" cy="303847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D1BFA9" w14:textId="792B8C8D" w:rsidR="00577CB4" w:rsidRPr="009D3C6B" w:rsidRDefault="00577CB4" w:rsidP="00577CB4">
      <w:pPr>
        <w:autoSpaceDE w:val="0"/>
        <w:autoSpaceDN w:val="0"/>
        <w:adjustRightInd w:val="0"/>
        <w:spacing w:line="360" w:lineRule="auto"/>
        <w:ind w:left="426" w:firstLine="992"/>
        <w:jc w:val="both"/>
        <w:rPr>
          <w:color w:val="000000"/>
          <w:lang w:val="id-ID"/>
        </w:rPr>
      </w:pPr>
      <w:r w:rsidRPr="009D3C6B">
        <w:rPr>
          <w:color w:val="000000"/>
          <w:lang w:val="id-ID"/>
        </w:rPr>
        <w:t xml:space="preserve">Sumber  data  :  Hasil  Penelitian </w:t>
      </w:r>
      <w:r w:rsidR="00325126" w:rsidRPr="009D3C6B">
        <w:rPr>
          <w:color w:val="000000"/>
          <w:lang w:val="id-ID"/>
        </w:rPr>
        <w:t xml:space="preserve"> tahun</w:t>
      </w:r>
      <w:r w:rsidRPr="009D3C6B">
        <w:rPr>
          <w:color w:val="000000"/>
          <w:lang w:val="id-ID"/>
        </w:rPr>
        <w:t xml:space="preserve">  2019</w:t>
      </w:r>
    </w:p>
    <w:p w14:paraId="3A6A5B03" w14:textId="120C1171" w:rsidR="00B36780" w:rsidRPr="009D3C6B" w:rsidRDefault="00577CB4" w:rsidP="00325126">
      <w:pPr>
        <w:pStyle w:val="NoSpacing"/>
        <w:spacing w:line="360" w:lineRule="auto"/>
        <w:ind w:left="426"/>
        <w:jc w:val="both"/>
        <w:rPr>
          <w:rFonts w:ascii="Times New Roman" w:hAnsi="Times New Roman" w:cs="Times New Roman"/>
          <w:color w:val="000000"/>
          <w:sz w:val="24"/>
          <w:szCs w:val="24"/>
          <w:lang w:val="id-ID"/>
        </w:rPr>
      </w:pPr>
      <w:r w:rsidRPr="009D3C6B">
        <w:rPr>
          <w:rFonts w:ascii="Times New Roman" w:hAnsi="Times New Roman" w:cs="Times New Roman"/>
          <w:b/>
          <w:color w:val="000000"/>
          <w:sz w:val="24"/>
          <w:szCs w:val="24"/>
          <w:lang w:val="id-ID"/>
        </w:rPr>
        <w:t xml:space="preserve">   </w:t>
      </w:r>
      <w:r w:rsidRPr="009D3C6B">
        <w:rPr>
          <w:rFonts w:ascii="Times New Roman" w:hAnsi="Times New Roman" w:cs="Times New Roman"/>
          <w:color w:val="000000"/>
          <w:sz w:val="24"/>
          <w:szCs w:val="24"/>
          <w:lang w:val="id-ID"/>
        </w:rPr>
        <w:t xml:space="preserve">Pada  grafik  tersebut  diatas   menunjukan  bahwa    ketimpangan   spasial  </w:t>
      </w:r>
      <w:r w:rsidR="00AC4A18" w:rsidRPr="009D3C6B">
        <w:rPr>
          <w:rFonts w:ascii="Times New Roman" w:hAnsi="Times New Roman" w:cs="Times New Roman"/>
          <w:color w:val="000000"/>
          <w:sz w:val="24"/>
          <w:szCs w:val="24"/>
          <w:lang w:val="id-ID"/>
        </w:rPr>
        <w:t>dalam kabupaten</w:t>
      </w:r>
      <w:r w:rsidRPr="009D3C6B">
        <w:rPr>
          <w:rFonts w:ascii="Times New Roman" w:hAnsi="Times New Roman" w:cs="Times New Roman"/>
          <w:color w:val="000000"/>
          <w:sz w:val="24"/>
          <w:szCs w:val="24"/>
          <w:lang w:val="id-ID"/>
        </w:rPr>
        <w:t xml:space="preserve">/kota  di propinsi Nusa tenggara Timur Periode 2013-2018  </w:t>
      </w:r>
      <w:r w:rsidR="00EE077F" w:rsidRPr="009D3C6B">
        <w:rPr>
          <w:rFonts w:ascii="Times New Roman" w:hAnsi="Times New Roman" w:cs="Times New Roman"/>
          <w:color w:val="000000"/>
          <w:sz w:val="24"/>
          <w:szCs w:val="24"/>
          <w:lang w:val="id-ID"/>
        </w:rPr>
        <w:t>se</w:t>
      </w:r>
      <w:r w:rsidR="00325126" w:rsidRPr="009D3C6B">
        <w:rPr>
          <w:rFonts w:ascii="Times New Roman" w:hAnsi="Times New Roman" w:cs="Times New Roman"/>
          <w:color w:val="000000"/>
          <w:sz w:val="24"/>
          <w:szCs w:val="24"/>
          <w:lang w:val="id-ID"/>
        </w:rPr>
        <w:t>bagai  berikut  Kabupaten  yang nilai  indeks theil (intra) 1,50- 1,96  ada 11   kabupaten   yakni :  Kabupaten sumba Barat  (1,78), Alor 1,92, Lembata 1,67,  Rote Ndao 1,91, Manggarai Barat 1,96, sumba Tengah 1,50,  Sumba Barat Daya 1,96, Nagekeo 1,76,  Manggarai Timur 1, 90,   Sabu rai jua 1,51 dan  Malaka sebesar  1,89</w:t>
      </w:r>
      <w:r w:rsidR="00E4442C" w:rsidRPr="009D3C6B">
        <w:rPr>
          <w:rFonts w:ascii="Times New Roman" w:hAnsi="Times New Roman" w:cs="Times New Roman"/>
          <w:color w:val="000000"/>
          <w:sz w:val="24"/>
          <w:szCs w:val="24"/>
          <w:lang w:val="id-ID"/>
        </w:rPr>
        <w:t xml:space="preserve"> Sedangkan   kabupatan /kota  yang   memiliki  nilai   2,0 – 2,90  ada 10  kabupaten  </w:t>
      </w:r>
      <w:r w:rsidR="00E65387" w:rsidRPr="009D3C6B">
        <w:rPr>
          <w:rFonts w:ascii="Times New Roman" w:hAnsi="Times New Roman" w:cs="Times New Roman"/>
          <w:color w:val="000000"/>
          <w:sz w:val="24"/>
          <w:szCs w:val="24"/>
          <w:lang w:val="id-ID"/>
        </w:rPr>
        <w:t xml:space="preserve">  </w:t>
      </w:r>
      <w:r w:rsidR="00E4442C" w:rsidRPr="009D3C6B">
        <w:rPr>
          <w:rFonts w:ascii="Times New Roman" w:hAnsi="Times New Roman" w:cs="Times New Roman"/>
          <w:color w:val="000000"/>
          <w:sz w:val="24"/>
          <w:szCs w:val="24"/>
          <w:lang w:val="id-ID"/>
        </w:rPr>
        <w:t>dan  1 kota mad</w:t>
      </w:r>
      <w:r w:rsidR="005D5B35" w:rsidRPr="009D3C6B">
        <w:rPr>
          <w:rFonts w:ascii="Times New Roman" w:hAnsi="Times New Roman" w:cs="Times New Roman"/>
          <w:color w:val="000000"/>
          <w:sz w:val="24"/>
          <w:szCs w:val="24"/>
          <w:lang w:val="id-ID"/>
        </w:rPr>
        <w:t xml:space="preserve">ya yakni  :  Kanupaten  sumba Timur  2,25, Kab. Kupang 2,32, TTS,2,30 TTU 2,09, Belu2,10, Flotim 2,19, Sikka 2,14, Ende 2,26, Ngada 2,00, Manggarai 2,09,  dan kota kupang  2,90. Hal tersebut mengindikasikan  bahwa  ketimpangan pembangunan  antar  wilayah  dalam  kabupaten </w:t>
      </w:r>
      <w:r w:rsidR="00E65387" w:rsidRPr="009D3C6B">
        <w:rPr>
          <w:rFonts w:ascii="Times New Roman" w:hAnsi="Times New Roman" w:cs="Times New Roman"/>
          <w:color w:val="000000"/>
          <w:sz w:val="24"/>
          <w:szCs w:val="24"/>
          <w:lang w:val="id-ID"/>
        </w:rPr>
        <w:t xml:space="preserve"> cukup  signifikan namun  melalui  pendekatan  Indeks Theil intra  di temukan bahwa  pada wilayah atau daerah  yang  masuk  daerah  yang  maju dan  berkembang  di propinsi NTT adalah Kabupaten  Ende, Flotim, Siika dan Kota  Kupang  (Penelitian  Estherlina Sagajoka  dan Falentina Lucia Banda  pada  bulan </w:t>
      </w:r>
      <w:r w:rsidR="00280951" w:rsidRPr="009D3C6B">
        <w:rPr>
          <w:rFonts w:ascii="Times New Roman" w:hAnsi="Times New Roman" w:cs="Times New Roman"/>
          <w:color w:val="000000"/>
          <w:sz w:val="24"/>
          <w:szCs w:val="24"/>
          <w:lang w:val="id-ID"/>
        </w:rPr>
        <w:t xml:space="preserve">Juni </w:t>
      </w:r>
      <w:r w:rsidR="00E65387" w:rsidRPr="009D3C6B">
        <w:rPr>
          <w:rFonts w:ascii="Times New Roman" w:hAnsi="Times New Roman" w:cs="Times New Roman"/>
          <w:color w:val="000000"/>
          <w:sz w:val="24"/>
          <w:szCs w:val="24"/>
          <w:lang w:val="id-ID"/>
        </w:rPr>
        <w:t>2019</w:t>
      </w:r>
      <w:r w:rsidR="00280951" w:rsidRPr="009D3C6B">
        <w:rPr>
          <w:rFonts w:ascii="Times New Roman" w:hAnsi="Times New Roman" w:cs="Times New Roman"/>
          <w:color w:val="000000"/>
          <w:sz w:val="24"/>
          <w:szCs w:val="24"/>
          <w:lang w:val="id-ID"/>
        </w:rPr>
        <w:t>)  karena  didorong oleh ketersediaan Sumber daya   Pemerataan Pembangunan di dalam  wilayah  kabupaten/  kota tersebut.</w:t>
      </w:r>
    </w:p>
    <w:p w14:paraId="0F64BDEC" w14:textId="12F16AB2" w:rsidR="00280951" w:rsidRPr="009D3C6B" w:rsidRDefault="00280951" w:rsidP="00325126">
      <w:pPr>
        <w:pStyle w:val="NoSpacing"/>
        <w:spacing w:line="360" w:lineRule="auto"/>
        <w:ind w:left="426"/>
        <w:jc w:val="both"/>
        <w:rPr>
          <w:rFonts w:ascii="Times New Roman" w:hAnsi="Times New Roman" w:cs="Times New Roman"/>
          <w:color w:val="000000"/>
          <w:sz w:val="24"/>
          <w:szCs w:val="24"/>
          <w:lang w:val="id-ID"/>
        </w:rPr>
      </w:pPr>
      <w:r w:rsidRPr="009D3C6B">
        <w:rPr>
          <w:rFonts w:ascii="Times New Roman" w:hAnsi="Times New Roman" w:cs="Times New Roman"/>
          <w:color w:val="000000"/>
          <w:sz w:val="24"/>
          <w:szCs w:val="24"/>
          <w:lang w:val="id-ID"/>
        </w:rPr>
        <w:lastRenderedPageBreak/>
        <w:t>Sedangkan   berdasarkan    hasil perhitungan  Indeks Entropi Theil</w:t>
      </w:r>
      <w:r w:rsidR="00914FD9" w:rsidRPr="009D3C6B">
        <w:rPr>
          <w:rFonts w:ascii="Times New Roman" w:hAnsi="Times New Roman" w:cs="Times New Roman"/>
          <w:color w:val="000000"/>
          <w:sz w:val="24"/>
          <w:szCs w:val="24"/>
          <w:lang w:val="id-ID"/>
        </w:rPr>
        <w:t xml:space="preserve">  ketimpangan  pembangunan  antar 21  kabupaten  dan  kota kupang   cenderung melebar  (</w:t>
      </w:r>
      <w:r w:rsidR="00914FD9" w:rsidRPr="009D3C6B">
        <w:rPr>
          <w:rFonts w:ascii="Times New Roman" w:hAnsi="Times New Roman" w:cs="Times New Roman"/>
          <w:b/>
          <w:i/>
          <w:color w:val="000000"/>
          <w:sz w:val="24"/>
          <w:szCs w:val="24"/>
          <w:lang w:val="id-ID"/>
        </w:rPr>
        <w:t>divergence</w:t>
      </w:r>
      <w:r w:rsidR="00914FD9" w:rsidRPr="009D3C6B">
        <w:rPr>
          <w:rFonts w:ascii="Times New Roman" w:hAnsi="Times New Roman" w:cs="Times New Roman"/>
          <w:color w:val="000000"/>
          <w:sz w:val="24"/>
          <w:szCs w:val="24"/>
          <w:lang w:val="id-ID"/>
        </w:rPr>
        <w:t xml:space="preserve">)   yang   memiliki   Indeks  Thei;l sebesar 798.,15,   </w:t>
      </w:r>
      <w:r w:rsidR="00E309AB" w:rsidRPr="009D3C6B">
        <w:rPr>
          <w:rFonts w:ascii="Times New Roman" w:hAnsi="Times New Roman" w:cs="Times New Roman"/>
          <w:color w:val="000000"/>
          <w:sz w:val="24"/>
          <w:szCs w:val="24"/>
          <w:lang w:val="id-ID"/>
        </w:rPr>
        <w:t xml:space="preserve">menyusul kabupaten Kupang  sebesar 211, 26, TTS 201,11,  Ende, 183,75.,, Sumba Timur 178,61, Flotin 156,57,  Sikka 140,43, Belu 128, 02,  Manggarai 125,31,  TTU 125,02, </w:t>
      </w:r>
      <w:r w:rsidR="004D016C" w:rsidRPr="009D3C6B">
        <w:rPr>
          <w:rFonts w:ascii="Times New Roman" w:hAnsi="Times New Roman" w:cs="Times New Roman"/>
          <w:color w:val="000000"/>
          <w:sz w:val="24"/>
          <w:szCs w:val="24"/>
          <w:lang w:val="id-ID"/>
        </w:rPr>
        <w:t xml:space="preserve"> Ngada, 102,91, </w:t>
      </w:r>
      <w:r w:rsidR="00D953F0" w:rsidRPr="009D3C6B">
        <w:rPr>
          <w:rFonts w:ascii="Times New Roman" w:hAnsi="Times New Roman" w:cs="Times New Roman"/>
          <w:color w:val="000000"/>
          <w:sz w:val="24"/>
          <w:szCs w:val="24"/>
          <w:lang w:val="id-ID"/>
        </w:rPr>
        <w:t xml:space="preserve"> Manggarai Barat 92,41, Sumba Barat Daya,92,14, Alor, 84,67. Rotendao 83,6, Manggarai Timur, 81,6,  Malaka 79,03, </w:t>
      </w:r>
      <w:r w:rsidR="00067ACD" w:rsidRPr="009D3C6B">
        <w:rPr>
          <w:rFonts w:ascii="Times New Roman" w:hAnsi="Times New Roman" w:cs="Times New Roman"/>
          <w:color w:val="000000"/>
          <w:sz w:val="24"/>
          <w:szCs w:val="24"/>
          <w:lang w:val="id-ID"/>
        </w:rPr>
        <w:t>Sumba barat 62,7,  Nagekeo 59,03,  Lembata 48,47, Saburai jua  33,57  dan  terakhir  kabupaten  Sumba tengah sebesar 32,99.  Hal  ini  men</w:t>
      </w:r>
      <w:r w:rsidR="00324E4D" w:rsidRPr="009D3C6B">
        <w:rPr>
          <w:rFonts w:ascii="Times New Roman" w:hAnsi="Times New Roman" w:cs="Times New Roman"/>
          <w:color w:val="000000"/>
          <w:sz w:val="24"/>
          <w:szCs w:val="24"/>
          <w:lang w:val="id-ID"/>
        </w:rPr>
        <w:t>gindikasikan  Ketimpangan  Pemb</w:t>
      </w:r>
      <w:r w:rsidR="00067ACD" w:rsidRPr="009D3C6B">
        <w:rPr>
          <w:rFonts w:ascii="Times New Roman" w:hAnsi="Times New Roman" w:cs="Times New Roman"/>
          <w:color w:val="000000"/>
          <w:sz w:val="24"/>
          <w:szCs w:val="24"/>
          <w:lang w:val="id-ID"/>
        </w:rPr>
        <w:t>a</w:t>
      </w:r>
      <w:r w:rsidR="00324E4D" w:rsidRPr="009D3C6B">
        <w:rPr>
          <w:rFonts w:ascii="Times New Roman" w:hAnsi="Times New Roman" w:cs="Times New Roman"/>
          <w:color w:val="000000"/>
          <w:sz w:val="24"/>
          <w:szCs w:val="24"/>
          <w:lang w:val="id-ID"/>
        </w:rPr>
        <w:t xml:space="preserve">ngunan  kota kupang   dan 21 kabupaten </w:t>
      </w:r>
      <w:r w:rsidR="00067ACD" w:rsidRPr="009D3C6B">
        <w:rPr>
          <w:rFonts w:ascii="Times New Roman" w:hAnsi="Times New Roman" w:cs="Times New Roman"/>
          <w:color w:val="000000"/>
          <w:sz w:val="24"/>
          <w:szCs w:val="24"/>
          <w:lang w:val="id-ID"/>
        </w:rPr>
        <w:t xml:space="preserve"> </w:t>
      </w:r>
      <w:r w:rsidR="00E309AB" w:rsidRPr="009D3C6B">
        <w:rPr>
          <w:rFonts w:ascii="Times New Roman" w:hAnsi="Times New Roman" w:cs="Times New Roman"/>
          <w:color w:val="000000"/>
          <w:sz w:val="24"/>
          <w:szCs w:val="24"/>
          <w:lang w:val="id-ID"/>
        </w:rPr>
        <w:t xml:space="preserve"> </w:t>
      </w:r>
      <w:r w:rsidR="00324E4D" w:rsidRPr="009D3C6B">
        <w:rPr>
          <w:rFonts w:ascii="Times New Roman" w:hAnsi="Times New Roman" w:cs="Times New Roman"/>
          <w:color w:val="000000"/>
          <w:sz w:val="24"/>
          <w:szCs w:val="24"/>
          <w:lang w:val="id-ID"/>
        </w:rPr>
        <w:t xml:space="preserve">  sangat  Tinggi.  </w:t>
      </w:r>
    </w:p>
    <w:p w14:paraId="36654A4B" w14:textId="77777777" w:rsidR="00324E4D" w:rsidRPr="009D3C6B" w:rsidRDefault="00324E4D" w:rsidP="00325126">
      <w:pPr>
        <w:pStyle w:val="NoSpacing"/>
        <w:spacing w:line="360" w:lineRule="auto"/>
        <w:ind w:left="426"/>
        <w:jc w:val="both"/>
        <w:rPr>
          <w:rFonts w:ascii="Times New Roman" w:hAnsi="Times New Roman" w:cs="Times New Roman"/>
          <w:color w:val="000000"/>
          <w:sz w:val="24"/>
          <w:szCs w:val="24"/>
          <w:lang w:val="id-ID"/>
        </w:rPr>
      </w:pPr>
    </w:p>
    <w:p w14:paraId="0C19B018" w14:textId="5064CC9C" w:rsidR="00654165" w:rsidRPr="009D3C6B" w:rsidRDefault="00654165" w:rsidP="00654165">
      <w:pPr>
        <w:pStyle w:val="ListParagraph"/>
        <w:spacing w:line="480" w:lineRule="auto"/>
        <w:ind w:left="0" w:firstLine="6"/>
        <w:rPr>
          <w:b/>
          <w:lang w:val="id-ID"/>
        </w:rPr>
      </w:pPr>
      <w:r w:rsidRPr="009D3C6B">
        <w:rPr>
          <w:b/>
          <w:lang w:val="id-ID"/>
        </w:rPr>
        <w:t>E. PENUTUP</w:t>
      </w:r>
    </w:p>
    <w:p w14:paraId="166BC40E" w14:textId="3E935C47" w:rsidR="00654165" w:rsidRPr="009D3C6B" w:rsidRDefault="00654165" w:rsidP="00654165">
      <w:pPr>
        <w:pStyle w:val="NoSpacing"/>
        <w:spacing w:line="480" w:lineRule="auto"/>
        <w:ind w:left="426"/>
        <w:jc w:val="both"/>
        <w:rPr>
          <w:rFonts w:ascii="Times New Roman" w:hAnsi="Times New Roman" w:cs="Times New Roman"/>
          <w:sz w:val="24"/>
          <w:szCs w:val="24"/>
          <w:lang w:val="id-ID"/>
        </w:rPr>
      </w:pPr>
      <w:proofErr w:type="spellStart"/>
      <w:r w:rsidRPr="009D3C6B">
        <w:rPr>
          <w:rFonts w:ascii="Times New Roman" w:hAnsi="Times New Roman" w:cs="Times New Roman"/>
          <w:sz w:val="24"/>
          <w:szCs w:val="24"/>
        </w:rPr>
        <w:t>Berdasar</w:t>
      </w:r>
      <w:proofErr w:type="spellEnd"/>
      <w:r w:rsidRPr="009D3C6B">
        <w:rPr>
          <w:rFonts w:ascii="Times New Roman" w:hAnsi="Times New Roman" w:cs="Times New Roman"/>
          <w:sz w:val="24"/>
          <w:szCs w:val="24"/>
          <w:lang w:val="id-ID"/>
        </w:rPr>
        <w:t xml:space="preserve">kan hasil analisis </w:t>
      </w:r>
      <w:r w:rsidRPr="009D3C6B">
        <w:rPr>
          <w:rFonts w:ascii="Times New Roman" w:hAnsi="Times New Roman" w:cs="Times New Roman"/>
          <w:sz w:val="24"/>
          <w:szCs w:val="24"/>
        </w:rPr>
        <w:t xml:space="preserve">yang </w:t>
      </w:r>
      <w:proofErr w:type="spellStart"/>
      <w:r w:rsidRPr="009D3C6B">
        <w:rPr>
          <w:rFonts w:ascii="Times New Roman" w:hAnsi="Times New Roman" w:cs="Times New Roman"/>
          <w:sz w:val="24"/>
          <w:szCs w:val="24"/>
        </w:rPr>
        <w:t>telah</w:t>
      </w:r>
      <w:proofErr w:type="spellEnd"/>
      <w:r w:rsidRPr="009D3C6B">
        <w:rPr>
          <w:rFonts w:ascii="Times New Roman" w:hAnsi="Times New Roman" w:cs="Times New Roman"/>
          <w:sz w:val="24"/>
          <w:szCs w:val="24"/>
        </w:rPr>
        <w:t xml:space="preserve"> </w:t>
      </w:r>
      <w:proofErr w:type="spellStart"/>
      <w:r w:rsidRPr="009D3C6B">
        <w:rPr>
          <w:rFonts w:ascii="Times New Roman" w:hAnsi="Times New Roman" w:cs="Times New Roman"/>
          <w:sz w:val="24"/>
          <w:szCs w:val="24"/>
        </w:rPr>
        <w:t>dilakukan</w:t>
      </w:r>
      <w:proofErr w:type="spellEnd"/>
      <w:r w:rsidRPr="009D3C6B">
        <w:rPr>
          <w:rFonts w:ascii="Times New Roman" w:hAnsi="Times New Roman" w:cs="Times New Roman"/>
          <w:sz w:val="24"/>
          <w:szCs w:val="24"/>
        </w:rPr>
        <w:t xml:space="preserve">, </w:t>
      </w:r>
      <w:proofErr w:type="spellStart"/>
      <w:r w:rsidRPr="009D3C6B">
        <w:rPr>
          <w:rFonts w:ascii="Times New Roman" w:hAnsi="Times New Roman" w:cs="Times New Roman"/>
          <w:sz w:val="24"/>
          <w:szCs w:val="24"/>
        </w:rPr>
        <w:t>maka</w:t>
      </w:r>
      <w:proofErr w:type="spellEnd"/>
      <w:r w:rsidRPr="009D3C6B">
        <w:rPr>
          <w:rFonts w:ascii="Times New Roman" w:hAnsi="Times New Roman" w:cs="Times New Roman"/>
          <w:sz w:val="24"/>
          <w:szCs w:val="24"/>
        </w:rPr>
        <w:t xml:space="preserve"> </w:t>
      </w:r>
      <w:proofErr w:type="spellStart"/>
      <w:r w:rsidRPr="009D3C6B">
        <w:rPr>
          <w:rFonts w:ascii="Times New Roman" w:hAnsi="Times New Roman" w:cs="Times New Roman"/>
          <w:sz w:val="24"/>
          <w:szCs w:val="24"/>
        </w:rPr>
        <w:t>dapat</w:t>
      </w:r>
      <w:proofErr w:type="spellEnd"/>
      <w:r w:rsidRPr="009D3C6B">
        <w:rPr>
          <w:rFonts w:ascii="Times New Roman" w:hAnsi="Times New Roman" w:cs="Times New Roman"/>
          <w:sz w:val="24"/>
          <w:szCs w:val="24"/>
        </w:rPr>
        <w:t xml:space="preserve"> </w:t>
      </w:r>
      <w:r w:rsidRPr="009D3C6B">
        <w:rPr>
          <w:rFonts w:ascii="Times New Roman" w:hAnsi="Times New Roman" w:cs="Times New Roman"/>
          <w:sz w:val="24"/>
          <w:szCs w:val="24"/>
          <w:lang w:val="id-ID"/>
        </w:rPr>
        <w:t xml:space="preserve">ditarik </w:t>
      </w:r>
      <w:r w:rsidRPr="009D3C6B">
        <w:rPr>
          <w:rFonts w:ascii="Times New Roman" w:hAnsi="Times New Roman" w:cs="Times New Roman"/>
          <w:sz w:val="24"/>
          <w:szCs w:val="24"/>
        </w:rPr>
        <w:t xml:space="preserve"> </w:t>
      </w:r>
      <w:proofErr w:type="spellStart"/>
      <w:r w:rsidRPr="009D3C6B">
        <w:rPr>
          <w:rFonts w:ascii="Times New Roman" w:hAnsi="Times New Roman" w:cs="Times New Roman"/>
          <w:sz w:val="24"/>
          <w:szCs w:val="24"/>
        </w:rPr>
        <w:t>kesimpula</w:t>
      </w:r>
      <w:proofErr w:type="spellEnd"/>
      <w:r w:rsidRPr="009D3C6B">
        <w:rPr>
          <w:rFonts w:ascii="Times New Roman" w:hAnsi="Times New Roman" w:cs="Times New Roman"/>
          <w:sz w:val="24"/>
          <w:szCs w:val="24"/>
          <w:lang w:val="id-ID"/>
        </w:rPr>
        <w:t>n</w:t>
      </w:r>
      <w:r w:rsidR="00324E4D" w:rsidRPr="009D3C6B">
        <w:rPr>
          <w:rFonts w:ascii="Times New Roman" w:hAnsi="Times New Roman" w:cs="Times New Roman"/>
          <w:sz w:val="24"/>
          <w:szCs w:val="24"/>
        </w:rPr>
        <w:t xml:space="preserve"> </w:t>
      </w:r>
      <w:r w:rsidR="00324E4D" w:rsidRPr="009D3C6B">
        <w:rPr>
          <w:rFonts w:ascii="Times New Roman" w:hAnsi="Times New Roman" w:cs="Times New Roman"/>
          <w:sz w:val="24"/>
          <w:szCs w:val="24"/>
          <w:lang w:val="id-ID"/>
        </w:rPr>
        <w:t xml:space="preserve">  sebagai  berikut  :</w:t>
      </w:r>
    </w:p>
    <w:p w14:paraId="76F24431" w14:textId="42189643" w:rsidR="00324E4D" w:rsidRPr="009D3C6B" w:rsidRDefault="006D5CAC" w:rsidP="006D5CAC">
      <w:pPr>
        <w:pStyle w:val="NoSpacing"/>
        <w:spacing w:line="360" w:lineRule="auto"/>
        <w:ind w:left="284" w:firstLine="436"/>
        <w:jc w:val="both"/>
        <w:rPr>
          <w:rFonts w:ascii="Times New Roman" w:hAnsi="Times New Roman" w:cs="Times New Roman"/>
          <w:color w:val="000000"/>
          <w:sz w:val="24"/>
          <w:szCs w:val="24"/>
          <w:lang w:val="id-ID"/>
        </w:rPr>
      </w:pPr>
      <w:r w:rsidRPr="009D3C6B">
        <w:rPr>
          <w:rFonts w:ascii="Times New Roman" w:hAnsi="Times New Roman" w:cs="Times New Roman"/>
          <w:b/>
          <w:color w:val="000000"/>
          <w:sz w:val="24"/>
          <w:szCs w:val="24"/>
          <w:lang w:val="id-ID"/>
        </w:rPr>
        <w:t xml:space="preserve">Bedasarkan  hasil    Analsis Indeks Williamson  menunjukan  bahwa  </w:t>
      </w:r>
      <w:r w:rsidR="00324E4D" w:rsidRPr="009D3C6B">
        <w:rPr>
          <w:rFonts w:ascii="Times New Roman" w:hAnsi="Times New Roman" w:cs="Times New Roman"/>
          <w:b/>
          <w:color w:val="000000"/>
          <w:sz w:val="24"/>
          <w:szCs w:val="24"/>
          <w:lang w:val="id-ID"/>
        </w:rPr>
        <w:t xml:space="preserve"> </w:t>
      </w:r>
      <w:r w:rsidR="00324E4D" w:rsidRPr="009D3C6B">
        <w:rPr>
          <w:rFonts w:ascii="Times New Roman" w:hAnsi="Times New Roman" w:cs="Times New Roman"/>
          <w:color w:val="000000"/>
          <w:sz w:val="24"/>
          <w:szCs w:val="24"/>
          <w:lang w:val="id-ID"/>
        </w:rPr>
        <w:t xml:space="preserve">Ketimpangan pembangunan sektor sektor ekonomi  di 21 kabupaten di propinsi NTT  </w:t>
      </w:r>
      <w:r w:rsidR="00324E4D" w:rsidRPr="009D3C6B">
        <w:rPr>
          <w:rFonts w:ascii="Times New Roman" w:hAnsi="Times New Roman" w:cs="Times New Roman"/>
          <w:b/>
          <w:color w:val="000000"/>
          <w:sz w:val="24"/>
          <w:szCs w:val="24"/>
          <w:lang w:val="id-ID"/>
        </w:rPr>
        <w:t>sangat merata</w:t>
      </w:r>
      <w:r w:rsidR="00324E4D" w:rsidRPr="009D3C6B">
        <w:rPr>
          <w:rFonts w:ascii="Times New Roman" w:hAnsi="Times New Roman" w:cs="Times New Roman"/>
          <w:color w:val="000000"/>
          <w:sz w:val="24"/>
          <w:szCs w:val="24"/>
          <w:lang w:val="id-ID"/>
        </w:rPr>
        <w:t xml:space="preserve">  (Ketimpangan rendah)  kecuali   Kota Kupang yang memiliki   nilai IW sebesar  1,49  hal ini  mengindikasikan bahwa Ketimpangan Pembangunan sektor  Ekonomi  </w:t>
      </w:r>
      <w:r w:rsidR="00324E4D" w:rsidRPr="009D3C6B">
        <w:rPr>
          <w:rFonts w:ascii="Times New Roman" w:hAnsi="Times New Roman" w:cs="Times New Roman"/>
          <w:b/>
          <w:color w:val="000000"/>
          <w:sz w:val="24"/>
          <w:szCs w:val="24"/>
          <w:lang w:val="id-ID"/>
        </w:rPr>
        <w:t>Kota Kupang</w:t>
      </w:r>
      <w:r w:rsidR="00324E4D" w:rsidRPr="009D3C6B">
        <w:rPr>
          <w:rFonts w:ascii="Times New Roman" w:hAnsi="Times New Roman" w:cs="Times New Roman"/>
          <w:color w:val="000000"/>
          <w:sz w:val="24"/>
          <w:szCs w:val="24"/>
          <w:lang w:val="id-ID"/>
        </w:rPr>
        <w:t xml:space="preserve"> </w:t>
      </w:r>
      <w:r w:rsidR="00324E4D" w:rsidRPr="009D3C6B">
        <w:rPr>
          <w:rFonts w:ascii="Times New Roman" w:hAnsi="Times New Roman" w:cs="Times New Roman"/>
          <w:b/>
          <w:color w:val="000000"/>
          <w:sz w:val="24"/>
          <w:szCs w:val="24"/>
          <w:lang w:val="id-ID"/>
        </w:rPr>
        <w:t xml:space="preserve">sangat  tinggi </w:t>
      </w:r>
      <w:r w:rsidR="00324E4D" w:rsidRPr="009D3C6B">
        <w:rPr>
          <w:rFonts w:ascii="Times New Roman" w:hAnsi="Times New Roman" w:cs="Times New Roman"/>
          <w:color w:val="000000"/>
          <w:sz w:val="24"/>
          <w:szCs w:val="24"/>
          <w:lang w:val="id-ID"/>
        </w:rPr>
        <w:t xml:space="preserve"> (</w:t>
      </w:r>
      <w:r w:rsidR="00324E4D" w:rsidRPr="009D3C6B">
        <w:rPr>
          <w:rFonts w:ascii="Times New Roman" w:hAnsi="Times New Roman" w:cs="Times New Roman"/>
          <w:b/>
          <w:color w:val="000000"/>
          <w:sz w:val="24"/>
          <w:szCs w:val="24"/>
          <w:lang w:val="id-ID"/>
        </w:rPr>
        <w:t>sangat timpang</w:t>
      </w:r>
      <w:r w:rsidR="00324E4D" w:rsidRPr="009D3C6B">
        <w:rPr>
          <w:rFonts w:ascii="Times New Roman" w:hAnsi="Times New Roman" w:cs="Times New Roman"/>
          <w:color w:val="000000"/>
          <w:sz w:val="24"/>
          <w:szCs w:val="24"/>
          <w:lang w:val="id-ID"/>
        </w:rPr>
        <w:t>)  dibandingkan dengan kabupaten-kabupaten lainnya  di  provinsi  NTT pada  periode 2013-2018.</w:t>
      </w:r>
    </w:p>
    <w:p w14:paraId="2BEA7793" w14:textId="7593CAFE" w:rsidR="00EE077F" w:rsidRPr="009D3C6B" w:rsidRDefault="006D5CAC" w:rsidP="00F37E78">
      <w:pPr>
        <w:pStyle w:val="NoSpacing"/>
        <w:spacing w:line="360" w:lineRule="auto"/>
        <w:ind w:left="284" w:firstLine="436"/>
        <w:jc w:val="both"/>
        <w:rPr>
          <w:rFonts w:ascii="Times New Roman" w:hAnsi="Times New Roman" w:cs="Times New Roman"/>
          <w:color w:val="000000"/>
          <w:sz w:val="24"/>
          <w:szCs w:val="24"/>
          <w:lang w:val="id-ID"/>
        </w:rPr>
      </w:pPr>
      <w:r w:rsidRPr="009D3C6B">
        <w:rPr>
          <w:rFonts w:ascii="Times New Roman" w:hAnsi="Times New Roman" w:cs="Times New Roman"/>
          <w:b/>
          <w:color w:val="000000"/>
          <w:sz w:val="24"/>
          <w:szCs w:val="24"/>
          <w:lang w:val="id-ID"/>
        </w:rPr>
        <w:t xml:space="preserve"> Hasil    Analisis dengan   Indeks   Theil   Intra </w:t>
      </w:r>
      <w:r w:rsidR="001C7F1E" w:rsidRPr="009D3C6B">
        <w:rPr>
          <w:rFonts w:ascii="Times New Roman" w:hAnsi="Times New Roman" w:cs="Times New Roman"/>
          <w:b/>
          <w:color w:val="000000"/>
          <w:sz w:val="24"/>
          <w:szCs w:val="24"/>
          <w:lang w:val="id-ID"/>
        </w:rPr>
        <w:t xml:space="preserve">  </w:t>
      </w:r>
      <w:r w:rsidRPr="009D3C6B">
        <w:rPr>
          <w:rFonts w:ascii="Times New Roman" w:hAnsi="Times New Roman" w:cs="Times New Roman"/>
          <w:b/>
          <w:color w:val="000000"/>
          <w:sz w:val="24"/>
          <w:szCs w:val="24"/>
          <w:lang w:val="id-ID"/>
        </w:rPr>
        <w:t xml:space="preserve"> menunjukan </w:t>
      </w:r>
      <w:r w:rsidR="00EE077F" w:rsidRPr="009D3C6B">
        <w:rPr>
          <w:rFonts w:ascii="Times New Roman" w:hAnsi="Times New Roman" w:cs="Times New Roman"/>
          <w:b/>
          <w:color w:val="000000"/>
          <w:sz w:val="24"/>
          <w:szCs w:val="24"/>
          <w:lang w:val="id-ID"/>
        </w:rPr>
        <w:t xml:space="preserve"> </w:t>
      </w:r>
      <w:r w:rsidR="001C7F1E" w:rsidRPr="009D3C6B">
        <w:rPr>
          <w:rFonts w:ascii="Times New Roman" w:hAnsi="Times New Roman" w:cs="Times New Roman"/>
          <w:color w:val="000000"/>
          <w:sz w:val="24"/>
          <w:szCs w:val="24"/>
          <w:lang w:val="id-ID"/>
        </w:rPr>
        <w:t xml:space="preserve">ketimpangan   spasial   dalam kabupaten.kota di propinsi Nusa Tenggara Timur cukup merata  </w:t>
      </w:r>
      <w:r w:rsidR="00EE077F" w:rsidRPr="009D3C6B">
        <w:rPr>
          <w:rFonts w:ascii="Times New Roman" w:hAnsi="Times New Roman" w:cs="Times New Roman"/>
          <w:color w:val="000000"/>
          <w:sz w:val="24"/>
          <w:szCs w:val="24"/>
          <w:lang w:val="id-ID"/>
        </w:rPr>
        <w:t>dalam kabupaten</w:t>
      </w:r>
      <w:r w:rsidR="001C7F1E" w:rsidRPr="009D3C6B">
        <w:rPr>
          <w:rFonts w:ascii="Times New Roman" w:hAnsi="Times New Roman" w:cs="Times New Roman"/>
          <w:color w:val="000000"/>
          <w:sz w:val="24"/>
          <w:szCs w:val="24"/>
          <w:lang w:val="id-ID"/>
        </w:rPr>
        <w:t xml:space="preserve"> kecuali  Kota  kupang menunjukan  ketimpangan  yang  tidak merata di bandikan dengan  21 kabupaten  lainnya.</w:t>
      </w:r>
      <w:r w:rsidR="00F37E78" w:rsidRPr="009D3C6B">
        <w:rPr>
          <w:rFonts w:ascii="Times New Roman" w:hAnsi="Times New Roman" w:cs="Times New Roman"/>
          <w:color w:val="000000"/>
          <w:sz w:val="24"/>
          <w:szCs w:val="24"/>
          <w:lang w:val="id-ID"/>
        </w:rPr>
        <w:t xml:space="preserve"> Melalui </w:t>
      </w:r>
      <w:r w:rsidR="00EE077F" w:rsidRPr="009D3C6B">
        <w:rPr>
          <w:rFonts w:ascii="Times New Roman" w:hAnsi="Times New Roman" w:cs="Times New Roman"/>
          <w:color w:val="000000"/>
          <w:sz w:val="24"/>
          <w:szCs w:val="24"/>
          <w:lang w:val="id-ID"/>
        </w:rPr>
        <w:t xml:space="preserve"> perhitungan  Indeks Entropi Theil  ketimpangan  pembangunan  antar 21  kabupaten  dan  kota kupang   </w:t>
      </w:r>
      <w:r w:rsidR="00F37E78" w:rsidRPr="009D3C6B">
        <w:rPr>
          <w:rFonts w:ascii="Times New Roman" w:hAnsi="Times New Roman" w:cs="Times New Roman"/>
          <w:color w:val="000000"/>
          <w:sz w:val="24"/>
          <w:szCs w:val="24"/>
          <w:lang w:val="id-ID"/>
        </w:rPr>
        <w:t>cend</w:t>
      </w:r>
      <w:r w:rsidR="00EE077F" w:rsidRPr="009D3C6B">
        <w:rPr>
          <w:rFonts w:ascii="Times New Roman" w:hAnsi="Times New Roman" w:cs="Times New Roman"/>
          <w:color w:val="000000"/>
          <w:sz w:val="24"/>
          <w:szCs w:val="24"/>
          <w:lang w:val="id-ID"/>
        </w:rPr>
        <w:t>erung melebar  (</w:t>
      </w:r>
      <w:r w:rsidR="00EE077F" w:rsidRPr="009D3C6B">
        <w:rPr>
          <w:rFonts w:ascii="Times New Roman" w:hAnsi="Times New Roman" w:cs="Times New Roman"/>
          <w:b/>
          <w:i/>
          <w:color w:val="000000"/>
          <w:sz w:val="24"/>
          <w:szCs w:val="24"/>
          <w:lang w:val="id-ID"/>
        </w:rPr>
        <w:t>divergence</w:t>
      </w:r>
      <w:r w:rsidR="00EE077F" w:rsidRPr="009D3C6B">
        <w:rPr>
          <w:rFonts w:ascii="Times New Roman" w:hAnsi="Times New Roman" w:cs="Times New Roman"/>
          <w:color w:val="000000"/>
          <w:sz w:val="24"/>
          <w:szCs w:val="24"/>
          <w:lang w:val="id-ID"/>
        </w:rPr>
        <w:t xml:space="preserve">)   yang   memiliki   Indeks  Thei;l sebesar 798.,15,   </w:t>
      </w:r>
      <w:r w:rsidR="00F37E78" w:rsidRPr="009D3C6B">
        <w:rPr>
          <w:rFonts w:ascii="Times New Roman" w:hAnsi="Times New Roman" w:cs="Times New Roman"/>
          <w:color w:val="000000"/>
          <w:sz w:val="24"/>
          <w:szCs w:val="24"/>
          <w:lang w:val="id-ID"/>
        </w:rPr>
        <w:t xml:space="preserve"> sedangkan  21  kapupaten  lainnya  pada  periode 2013-2018  memiliki  nilai Indeks Entropi Theil </w:t>
      </w:r>
      <w:r w:rsidR="00EE077F" w:rsidRPr="009D3C6B">
        <w:rPr>
          <w:rFonts w:ascii="Times New Roman" w:hAnsi="Times New Roman" w:cs="Times New Roman"/>
          <w:color w:val="000000"/>
          <w:sz w:val="24"/>
          <w:szCs w:val="24"/>
          <w:lang w:val="id-ID"/>
        </w:rPr>
        <w:t>211, 26</w:t>
      </w:r>
      <w:r w:rsidR="00F37E78" w:rsidRPr="009D3C6B">
        <w:rPr>
          <w:rFonts w:ascii="Times New Roman" w:hAnsi="Times New Roman" w:cs="Times New Roman"/>
          <w:color w:val="000000"/>
          <w:sz w:val="24"/>
          <w:szCs w:val="24"/>
          <w:lang w:val="id-ID"/>
        </w:rPr>
        <w:t xml:space="preserve"> untuk Kabupaten  dan </w:t>
      </w:r>
      <w:r w:rsidR="00EE077F" w:rsidRPr="009D3C6B">
        <w:rPr>
          <w:rFonts w:ascii="Times New Roman" w:hAnsi="Times New Roman" w:cs="Times New Roman"/>
          <w:color w:val="000000"/>
          <w:sz w:val="24"/>
          <w:szCs w:val="24"/>
          <w:lang w:val="id-ID"/>
        </w:rPr>
        <w:t>, TTS 201,11,</w:t>
      </w:r>
      <w:r w:rsidR="00F37E78" w:rsidRPr="009D3C6B">
        <w:rPr>
          <w:rFonts w:ascii="Times New Roman" w:hAnsi="Times New Roman" w:cs="Times New Roman"/>
          <w:color w:val="000000"/>
          <w:sz w:val="24"/>
          <w:szCs w:val="24"/>
          <w:lang w:val="id-ID"/>
        </w:rPr>
        <w:t xml:space="preserve"> sedangkan kabupaten  lainnya memiliki angka  indeks  di bawah  200.</w:t>
      </w:r>
      <w:r w:rsidR="00EE077F" w:rsidRPr="009D3C6B">
        <w:rPr>
          <w:rFonts w:ascii="Times New Roman" w:hAnsi="Times New Roman" w:cs="Times New Roman"/>
          <w:color w:val="000000"/>
          <w:sz w:val="24"/>
          <w:szCs w:val="24"/>
          <w:lang w:val="id-ID"/>
        </w:rPr>
        <w:t xml:space="preserve"> </w:t>
      </w:r>
    </w:p>
    <w:p w14:paraId="34A591EE" w14:textId="77777777" w:rsidR="00C24F43" w:rsidRDefault="00C24F43" w:rsidP="000465D9">
      <w:pPr>
        <w:autoSpaceDE w:val="0"/>
        <w:autoSpaceDN w:val="0"/>
        <w:adjustRightInd w:val="0"/>
        <w:spacing w:line="360" w:lineRule="auto"/>
        <w:ind w:left="709" w:hanging="709"/>
        <w:jc w:val="center"/>
        <w:rPr>
          <w:b/>
          <w:lang w:val="id-ID"/>
        </w:rPr>
      </w:pPr>
    </w:p>
    <w:p w14:paraId="4EDC393E" w14:textId="77777777" w:rsidR="00C24F43" w:rsidRDefault="00C24F43" w:rsidP="000465D9">
      <w:pPr>
        <w:autoSpaceDE w:val="0"/>
        <w:autoSpaceDN w:val="0"/>
        <w:adjustRightInd w:val="0"/>
        <w:spacing w:line="360" w:lineRule="auto"/>
        <w:ind w:left="709" w:hanging="709"/>
        <w:jc w:val="center"/>
        <w:rPr>
          <w:b/>
          <w:lang w:val="id-ID"/>
        </w:rPr>
      </w:pPr>
    </w:p>
    <w:p w14:paraId="6F6C5F90" w14:textId="15F1CFE6" w:rsidR="000465D9" w:rsidRPr="009D3C6B" w:rsidRDefault="00A96A7D" w:rsidP="000465D9">
      <w:pPr>
        <w:autoSpaceDE w:val="0"/>
        <w:autoSpaceDN w:val="0"/>
        <w:adjustRightInd w:val="0"/>
        <w:spacing w:line="360" w:lineRule="auto"/>
        <w:ind w:left="709" w:hanging="709"/>
        <w:jc w:val="center"/>
        <w:rPr>
          <w:b/>
        </w:rPr>
      </w:pPr>
      <w:r w:rsidRPr="009D3C6B">
        <w:rPr>
          <w:b/>
          <w:lang w:val="id-ID"/>
        </w:rPr>
        <w:lastRenderedPageBreak/>
        <w:t>DAFTAR PUSTAKA</w:t>
      </w:r>
      <w:r w:rsidR="000465D9" w:rsidRPr="009D3C6B">
        <w:rPr>
          <w:b/>
        </w:rPr>
        <w:t xml:space="preserve"> </w:t>
      </w:r>
    </w:p>
    <w:p w14:paraId="2B9AF892" w14:textId="77777777" w:rsidR="000465D9" w:rsidRPr="009D3C6B" w:rsidRDefault="000465D9" w:rsidP="000465D9">
      <w:pPr>
        <w:widowControl w:val="0"/>
        <w:autoSpaceDE w:val="0"/>
        <w:autoSpaceDN w:val="0"/>
        <w:adjustRightInd w:val="0"/>
        <w:ind w:left="480" w:hanging="480"/>
        <w:jc w:val="both"/>
        <w:rPr>
          <w:rStyle w:val="Hyperlink"/>
          <w:noProof/>
          <w:lang w:val="id-ID"/>
        </w:rPr>
      </w:pPr>
      <w:r w:rsidRPr="009D3C6B">
        <w:rPr>
          <w:noProof/>
        </w:rPr>
        <w:t xml:space="preserve">Barker, T., Ekins, P., &amp; Foxon, T. (2007). The macro-economic rebound effectand the UK economy. </w:t>
      </w:r>
      <w:r w:rsidRPr="009D3C6B">
        <w:rPr>
          <w:i/>
          <w:iCs/>
          <w:noProof/>
        </w:rPr>
        <w:t>Energy Policy</w:t>
      </w:r>
      <w:r w:rsidRPr="009D3C6B">
        <w:rPr>
          <w:noProof/>
        </w:rPr>
        <w:t xml:space="preserve">. </w:t>
      </w:r>
      <w:hyperlink r:id="rId13" w:history="1">
        <w:r w:rsidRPr="009D3C6B">
          <w:rPr>
            <w:rStyle w:val="Hyperlink"/>
            <w:noProof/>
            <w:lang w:val="id-ID"/>
          </w:rPr>
          <w:t>https://doi.org/10.1016/j.enpol.2007.04.009</w:t>
        </w:r>
      </w:hyperlink>
    </w:p>
    <w:p w14:paraId="733ECA09" w14:textId="77777777" w:rsidR="000465D9" w:rsidRPr="009D3C6B" w:rsidRDefault="000465D9" w:rsidP="000465D9">
      <w:pPr>
        <w:widowControl w:val="0"/>
        <w:autoSpaceDE w:val="0"/>
        <w:autoSpaceDN w:val="0"/>
        <w:adjustRightInd w:val="0"/>
        <w:ind w:left="480" w:hanging="480"/>
        <w:jc w:val="both"/>
        <w:rPr>
          <w:noProof/>
          <w:lang w:val="id-ID"/>
        </w:rPr>
      </w:pPr>
      <w:r w:rsidRPr="009D3C6B">
        <w:rPr>
          <w:noProof/>
        </w:rPr>
        <w:t xml:space="preserve">Daryanto, A. (2003). Disparity of Urban-Rural Areas in Indonesia. </w:t>
      </w:r>
      <w:r w:rsidRPr="009D3C6B">
        <w:rPr>
          <w:i/>
          <w:iCs/>
          <w:noProof/>
        </w:rPr>
        <w:t>Agrimedia</w:t>
      </w:r>
      <w:r w:rsidRPr="009D3C6B">
        <w:rPr>
          <w:noProof/>
        </w:rPr>
        <w:t>.</w:t>
      </w:r>
    </w:p>
    <w:p w14:paraId="4EE3158D" w14:textId="054425B5" w:rsidR="00DA23F0" w:rsidRPr="009D3C6B" w:rsidRDefault="00DA23F0" w:rsidP="00DA23F0">
      <w:pPr>
        <w:ind w:left="426" w:hanging="426"/>
        <w:rPr>
          <w:lang w:val="id-ID"/>
        </w:rPr>
      </w:pPr>
      <w:r w:rsidRPr="009D3C6B">
        <w:rPr>
          <w:noProof/>
          <w:lang w:val="id-ID"/>
        </w:rPr>
        <w:t xml:space="preserve">Estherlina  Sagajoka dan Falentina  Lucia Band  (2019) ; </w:t>
      </w:r>
      <w:r w:rsidRPr="009D3C6B">
        <w:t xml:space="preserve">analysis of the </w:t>
      </w:r>
      <w:r w:rsidRPr="009D3C6B">
        <w:rPr>
          <w:lang w:val="id-ID"/>
        </w:rPr>
        <w:t xml:space="preserve"> </w:t>
      </w:r>
      <w:r w:rsidRPr="009D3C6B">
        <w:t xml:space="preserve">and development disparities among districts/cities in east </w:t>
      </w:r>
      <w:proofErr w:type="spellStart"/>
      <w:r w:rsidRPr="009D3C6B">
        <w:t>nusa</w:t>
      </w:r>
      <w:proofErr w:type="spellEnd"/>
      <w:r w:rsidRPr="009D3C6B">
        <w:rPr>
          <w:lang w:val="id-ID"/>
        </w:rPr>
        <w:t xml:space="preserve"> </w:t>
      </w:r>
      <w:proofErr w:type="spellStart"/>
      <w:r w:rsidRPr="009D3C6B">
        <w:t>tenggara</w:t>
      </w:r>
      <w:proofErr w:type="spellEnd"/>
      <w:r w:rsidRPr="009D3C6B">
        <w:t xml:space="preserve"> province year of 2013-2018</w:t>
      </w:r>
      <w:r w:rsidRPr="009D3C6B">
        <w:rPr>
          <w:lang w:val="id-ID"/>
        </w:rPr>
        <w:t xml:space="preserve">, JEP </w:t>
      </w:r>
    </w:p>
    <w:p w14:paraId="2F2414DA" w14:textId="0E40F9D9" w:rsidR="000465D9" w:rsidRPr="009D3C6B" w:rsidRDefault="000465D9" w:rsidP="000465D9">
      <w:pPr>
        <w:widowControl w:val="0"/>
        <w:autoSpaceDE w:val="0"/>
        <w:autoSpaceDN w:val="0"/>
        <w:adjustRightInd w:val="0"/>
        <w:ind w:left="480" w:hanging="480"/>
        <w:jc w:val="both"/>
        <w:rPr>
          <w:noProof/>
          <w:lang w:val="id-ID"/>
        </w:rPr>
      </w:pPr>
      <w:r w:rsidRPr="009D3C6B">
        <w:rPr>
          <w:noProof/>
          <w:lang w:val="id-ID"/>
        </w:rPr>
        <w:t>Nur Azmi Karim dkk</w:t>
      </w:r>
      <w:r w:rsidR="00DA23F0" w:rsidRPr="009D3C6B">
        <w:rPr>
          <w:noProof/>
          <w:lang w:val="id-ID"/>
        </w:rPr>
        <w:t xml:space="preserve"> (2015)</w:t>
      </w:r>
      <w:r w:rsidRPr="009D3C6B">
        <w:rPr>
          <w:noProof/>
          <w:lang w:val="id-ID"/>
        </w:rPr>
        <w:t xml:space="preserve">, Studi Komparasi  Ketimpangan  </w:t>
      </w:r>
      <w:proofErr w:type="spellStart"/>
      <w:r w:rsidR="00DA23F0" w:rsidRPr="009D3C6B">
        <w:rPr>
          <w:color w:val="000000"/>
        </w:rPr>
        <w:t>Studi</w:t>
      </w:r>
      <w:proofErr w:type="spellEnd"/>
      <w:r w:rsidR="00DA23F0" w:rsidRPr="009D3C6B">
        <w:rPr>
          <w:color w:val="000000"/>
        </w:rPr>
        <w:t xml:space="preserve"> </w:t>
      </w:r>
      <w:proofErr w:type="spellStart"/>
      <w:r w:rsidR="00DA23F0" w:rsidRPr="009D3C6B">
        <w:rPr>
          <w:color w:val="000000"/>
        </w:rPr>
        <w:t>Komparasi</w:t>
      </w:r>
      <w:proofErr w:type="spellEnd"/>
      <w:r w:rsidR="00DA23F0" w:rsidRPr="009D3C6B">
        <w:rPr>
          <w:color w:val="000000"/>
        </w:rPr>
        <w:t xml:space="preserve"> </w:t>
      </w:r>
      <w:r w:rsidR="00DA23F0" w:rsidRPr="009D3C6B">
        <w:rPr>
          <w:color w:val="000000"/>
          <w:lang w:val="id-ID"/>
        </w:rPr>
        <w:t>Pem</w:t>
      </w:r>
      <w:proofErr w:type="spellStart"/>
      <w:r w:rsidR="00DA23F0" w:rsidRPr="009D3C6B">
        <w:rPr>
          <w:color w:val="000000"/>
        </w:rPr>
        <w:t>bangunan</w:t>
      </w:r>
      <w:proofErr w:type="spellEnd"/>
      <w:r w:rsidR="00DA23F0" w:rsidRPr="009D3C6B">
        <w:rPr>
          <w:color w:val="000000"/>
        </w:rPr>
        <w:t xml:space="preserve"> </w:t>
      </w:r>
      <w:proofErr w:type="spellStart"/>
      <w:r w:rsidR="00DA23F0" w:rsidRPr="009D3C6B">
        <w:rPr>
          <w:color w:val="000000"/>
        </w:rPr>
        <w:t>Ekonomi</w:t>
      </w:r>
      <w:proofErr w:type="spellEnd"/>
      <w:r w:rsidR="00DA23F0" w:rsidRPr="009D3C6B">
        <w:rPr>
          <w:color w:val="000000"/>
        </w:rPr>
        <w:t xml:space="preserve"> </w:t>
      </w:r>
      <w:proofErr w:type="spellStart"/>
      <w:r w:rsidR="00DA23F0" w:rsidRPr="009D3C6B">
        <w:rPr>
          <w:color w:val="000000"/>
        </w:rPr>
        <w:t>Antar</w:t>
      </w:r>
      <w:proofErr w:type="spellEnd"/>
      <w:r w:rsidR="00DA23F0" w:rsidRPr="009D3C6B">
        <w:rPr>
          <w:color w:val="000000"/>
        </w:rPr>
        <w:t xml:space="preserve"> </w:t>
      </w:r>
      <w:proofErr w:type="spellStart"/>
      <w:r w:rsidR="00DA23F0" w:rsidRPr="009D3C6B">
        <w:rPr>
          <w:color w:val="000000"/>
        </w:rPr>
        <w:t>kabupaten</w:t>
      </w:r>
      <w:proofErr w:type="spellEnd"/>
      <w:r w:rsidR="00DA23F0" w:rsidRPr="009D3C6B">
        <w:rPr>
          <w:color w:val="000000"/>
        </w:rPr>
        <w:t xml:space="preserve"> </w:t>
      </w:r>
      <w:r w:rsidR="00DA23F0" w:rsidRPr="009D3C6B">
        <w:rPr>
          <w:color w:val="000000"/>
          <w:lang w:val="id-ID"/>
        </w:rPr>
        <w:t>/kota di Provinsi Jawa Barat.  Jurnal ISEI</w:t>
      </w:r>
    </w:p>
    <w:p w14:paraId="4AD9A2AC"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Noor, D. J. (2011). Research Methodology: Undergarduate Thesis, master’s Thesis, Dissertation, and Scientific Papers. In </w:t>
      </w:r>
      <w:r w:rsidRPr="009D3C6B">
        <w:rPr>
          <w:i/>
          <w:iCs/>
          <w:noProof/>
        </w:rPr>
        <w:t>Metodologi Penelitian: Skripsi, Tesis, Disertasi, &amp; Karya Ilmiah</w:t>
      </w:r>
      <w:r w:rsidRPr="009D3C6B">
        <w:rPr>
          <w:noProof/>
        </w:rPr>
        <w:t>.</w:t>
      </w:r>
    </w:p>
    <w:p w14:paraId="016D2A13"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Dhyatmika, K. W. (2013). The Analysis of Development Inequality in Banten Province After the Division from West Java. </w:t>
      </w:r>
      <w:hyperlink r:id="rId14" w:history="1">
        <w:r w:rsidRPr="009D3C6B">
          <w:rPr>
            <w:rStyle w:val="Hyperlink"/>
            <w:i/>
            <w:iCs/>
            <w:noProof/>
          </w:rPr>
          <w:t>Http://Eprints.Undip.Ac.Id/38984/</w:t>
        </w:r>
      </w:hyperlink>
      <w:r w:rsidRPr="009D3C6B">
        <w:rPr>
          <w:noProof/>
        </w:rPr>
        <w:t>.</w:t>
      </w:r>
    </w:p>
    <w:p w14:paraId="53F3B9D9" w14:textId="77777777" w:rsidR="000465D9" w:rsidRPr="009D3C6B" w:rsidRDefault="000465D9" w:rsidP="000465D9">
      <w:pPr>
        <w:widowControl w:val="0"/>
        <w:autoSpaceDE w:val="0"/>
        <w:autoSpaceDN w:val="0"/>
        <w:adjustRightInd w:val="0"/>
        <w:ind w:left="480" w:hanging="480"/>
        <w:jc w:val="both"/>
        <w:rPr>
          <w:noProof/>
        </w:rPr>
      </w:pPr>
      <w:r w:rsidRPr="009D3C6B">
        <w:rPr>
          <w:noProof/>
        </w:rPr>
        <w:t>Ekonomi, K., Berkembang, N., &amp; Brata, A. G. (2002). Developmental Economy Journal</w:t>
      </w:r>
      <w:r w:rsidRPr="009D3C6B">
        <w:rPr>
          <w:noProof/>
          <w:lang w:val="id-ID"/>
        </w:rPr>
        <w:t>,</w:t>
      </w:r>
      <w:r w:rsidRPr="009D3C6B">
        <w:rPr>
          <w:noProof/>
        </w:rPr>
        <w:t xml:space="preserve"> Human Development and Regional Economy Achievement in Indonesia. </w:t>
      </w:r>
      <w:r w:rsidRPr="009D3C6B">
        <w:rPr>
          <w:i/>
          <w:iCs/>
          <w:noProof/>
        </w:rPr>
        <w:t>JEP</w:t>
      </w:r>
      <w:r w:rsidRPr="009D3C6B">
        <w:rPr>
          <w:noProof/>
        </w:rPr>
        <w:t>.</w:t>
      </w:r>
    </w:p>
    <w:p w14:paraId="482D9459"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Franita, R. (2016). The Analysis of Unemploymet in Indonesia. </w:t>
      </w:r>
      <w:r w:rsidRPr="009D3C6B">
        <w:rPr>
          <w:i/>
          <w:iCs/>
          <w:noProof/>
        </w:rPr>
        <w:t>Jurnal Ilmu Sosial</w:t>
      </w:r>
      <w:r w:rsidRPr="009D3C6B">
        <w:rPr>
          <w:noProof/>
        </w:rPr>
        <w:t>.</w:t>
      </w:r>
    </w:p>
    <w:p w14:paraId="17A0E976"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Krinantya, N. (2014). Factors Affecting Ineaquality among the Regions in East Java Province and Yogyakarta Special Region. </w:t>
      </w:r>
      <w:hyperlink r:id="rId15" w:history="1">
        <w:r w:rsidRPr="009D3C6B">
          <w:rPr>
            <w:rStyle w:val="Hyperlink"/>
            <w:i/>
            <w:iCs/>
            <w:noProof/>
          </w:rPr>
          <w:t>Http://Eprints.Undip.Ac.Id/43107/</w:t>
        </w:r>
      </w:hyperlink>
      <w:r w:rsidRPr="009D3C6B">
        <w:rPr>
          <w:noProof/>
        </w:rPr>
        <w:t>.</w:t>
      </w:r>
    </w:p>
    <w:p w14:paraId="13290027"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Kumala, M., Soelistyo, A., &amp; Nuraini, I. (2017). The Analysis of Tourism Sector Potency as a Superior Sector in East Java. </w:t>
      </w:r>
      <w:r w:rsidRPr="009D3C6B">
        <w:rPr>
          <w:i/>
          <w:iCs/>
          <w:noProof/>
        </w:rPr>
        <w:t>Ilmu Ekonomi</w:t>
      </w:r>
      <w:r w:rsidRPr="009D3C6B">
        <w:rPr>
          <w:noProof/>
        </w:rPr>
        <w:t>.</w:t>
      </w:r>
    </w:p>
    <w:p w14:paraId="26F7990F"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Mankiw. (2013). Mankiw Principles of Economics. In </w:t>
      </w:r>
      <w:r w:rsidRPr="009D3C6B">
        <w:rPr>
          <w:i/>
          <w:iCs/>
          <w:noProof/>
        </w:rPr>
        <w:t>Journal of Chemical Information and Modeling</w:t>
      </w:r>
      <w:r w:rsidRPr="009D3C6B">
        <w:rPr>
          <w:noProof/>
        </w:rPr>
        <w:t xml:space="preserve">. </w:t>
      </w:r>
      <w:hyperlink r:id="rId16" w:history="1">
        <w:r w:rsidRPr="009D3C6B">
          <w:rPr>
            <w:rStyle w:val="Hyperlink"/>
            <w:noProof/>
          </w:rPr>
          <w:t>https://doi.org/10.1017/CBO9781107415324.004</w:t>
        </w:r>
      </w:hyperlink>
    </w:p>
    <w:p w14:paraId="03B79378"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Mopangga, H. (2011). The Analysis of Development and Economy Growth Inequality in Gorontalo Province. </w:t>
      </w:r>
      <w:r w:rsidRPr="009D3C6B">
        <w:rPr>
          <w:i/>
          <w:iCs/>
          <w:noProof/>
        </w:rPr>
        <w:t>Trikonomika</w:t>
      </w:r>
      <w:r w:rsidRPr="009D3C6B">
        <w:rPr>
          <w:noProof/>
        </w:rPr>
        <w:t>.</w:t>
      </w:r>
    </w:p>
    <w:p w14:paraId="34A10CDB" w14:textId="77777777" w:rsidR="000465D9" w:rsidRPr="009D3C6B" w:rsidRDefault="000465D9" w:rsidP="000465D9">
      <w:pPr>
        <w:widowControl w:val="0"/>
        <w:autoSpaceDE w:val="0"/>
        <w:autoSpaceDN w:val="0"/>
        <w:adjustRightInd w:val="0"/>
        <w:ind w:left="480" w:hanging="480"/>
        <w:jc w:val="both"/>
        <w:rPr>
          <w:rStyle w:val="Hyperlink"/>
          <w:noProof/>
          <w:lang w:val="id-ID"/>
        </w:rPr>
      </w:pPr>
      <w:r w:rsidRPr="009D3C6B">
        <w:rPr>
          <w:noProof/>
        </w:rPr>
        <w:t xml:space="preserve">Muhammad, D. S. H. (2018). Model of national Income Calculation in the Perspectives of Islamic Economy. </w:t>
      </w:r>
      <w:r w:rsidRPr="009D3C6B">
        <w:rPr>
          <w:i/>
          <w:iCs/>
          <w:noProof/>
        </w:rPr>
        <w:t>Jurnal CMES</w:t>
      </w:r>
      <w:r w:rsidRPr="009D3C6B">
        <w:rPr>
          <w:noProof/>
        </w:rPr>
        <w:t xml:space="preserve">. </w:t>
      </w:r>
      <w:hyperlink r:id="rId17" w:history="1">
        <w:r w:rsidRPr="009D3C6B">
          <w:rPr>
            <w:rStyle w:val="Hyperlink"/>
            <w:noProof/>
          </w:rPr>
          <w:t>https://doi.org/10.20961/cmes.11.2.26996</w:t>
        </w:r>
      </w:hyperlink>
    </w:p>
    <w:p w14:paraId="2176F21F" w14:textId="77777777" w:rsidR="000465D9" w:rsidRPr="009D3C6B" w:rsidRDefault="000465D9" w:rsidP="000465D9">
      <w:pPr>
        <w:widowControl w:val="0"/>
        <w:autoSpaceDE w:val="0"/>
        <w:autoSpaceDN w:val="0"/>
        <w:adjustRightInd w:val="0"/>
        <w:ind w:left="480" w:hanging="480"/>
        <w:jc w:val="both"/>
        <w:rPr>
          <w:lang w:val="id-ID"/>
        </w:rPr>
      </w:pPr>
      <w:r w:rsidRPr="009D3C6B">
        <w:rPr>
          <w:lang w:val="id-ID"/>
        </w:rPr>
        <w:t xml:space="preserve">NTT </w:t>
      </w:r>
      <w:r w:rsidRPr="009D3C6B">
        <w:t>in Numbers</w:t>
      </w:r>
      <w:r w:rsidRPr="009D3C6B">
        <w:rPr>
          <w:lang w:val="id-ID"/>
        </w:rPr>
        <w:t xml:space="preserve"> 2013 - 2018, </w:t>
      </w:r>
      <w:r w:rsidRPr="009D3C6B">
        <w:t>Statistics Bureau</w:t>
      </w:r>
      <w:r w:rsidRPr="009D3C6B">
        <w:rPr>
          <w:lang w:val="id-ID"/>
        </w:rPr>
        <w:t>.</w:t>
      </w:r>
    </w:p>
    <w:p w14:paraId="6B334A74" w14:textId="77777777" w:rsidR="000465D9" w:rsidRPr="009D3C6B" w:rsidRDefault="000465D9" w:rsidP="000465D9">
      <w:pPr>
        <w:widowControl w:val="0"/>
        <w:autoSpaceDE w:val="0"/>
        <w:autoSpaceDN w:val="0"/>
        <w:adjustRightInd w:val="0"/>
        <w:ind w:left="480" w:hanging="480"/>
        <w:jc w:val="both"/>
        <w:rPr>
          <w:noProof/>
          <w:lang w:val="id-ID"/>
        </w:rPr>
      </w:pPr>
      <w:r w:rsidRPr="009D3C6B">
        <w:rPr>
          <w:noProof/>
        </w:rPr>
        <w:t xml:space="preserve">Nuraini, I. (2017). The Quality of Economic Development in the Regencies in East Java. </w:t>
      </w:r>
      <w:r w:rsidRPr="009D3C6B">
        <w:rPr>
          <w:i/>
          <w:iCs/>
          <w:noProof/>
        </w:rPr>
        <w:t>Jurnal Ekonomi Pembangunan</w:t>
      </w:r>
      <w:r w:rsidRPr="009D3C6B">
        <w:rPr>
          <w:noProof/>
        </w:rPr>
        <w:t>.</w:t>
      </w:r>
    </w:p>
    <w:p w14:paraId="29BC3103"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Pangkiro, H. A. K., Rotinsulu, D. C., Patrick, D., Jurusan, W., Pembangunan, E., Ekonomi, F., &amp; Bisnis, D. (2016). The Analysis of Economic Development and Poverty on the Inequality in North Sulawesi Province. The Analysis of Growth Economic and Poverty on the Level of Inequality in North Sulawesi. </w:t>
      </w:r>
      <w:r w:rsidRPr="009D3C6B">
        <w:rPr>
          <w:i/>
          <w:iCs/>
          <w:noProof/>
        </w:rPr>
        <w:t>Jurnal Berkala Ilmiah Efisiensi</w:t>
      </w:r>
      <w:r w:rsidRPr="009D3C6B">
        <w:rPr>
          <w:noProof/>
        </w:rPr>
        <w:t>.</w:t>
      </w:r>
      <w:r w:rsidRPr="009D3C6B">
        <w:rPr>
          <w:b/>
          <w:lang w:val="id-ID"/>
        </w:rPr>
        <w:fldChar w:fldCharType="begin" w:fldLock="1"/>
      </w:r>
      <w:r w:rsidRPr="009D3C6B">
        <w:rPr>
          <w:b/>
          <w:lang w:val="id-ID"/>
        </w:rPr>
        <w:instrText xml:space="preserve">ADDIN Mendeley Bibliography CSL_BIBLIOGRAPHY </w:instrText>
      </w:r>
      <w:r w:rsidRPr="009D3C6B">
        <w:rPr>
          <w:b/>
          <w:lang w:val="id-ID"/>
        </w:rPr>
        <w:fldChar w:fldCharType="separate"/>
      </w:r>
    </w:p>
    <w:p w14:paraId="33B11715"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Pelling, M., Özerdem, A., &amp; Barakat, S. (2002). The macro-economic impact of disasters. </w:t>
      </w:r>
      <w:r w:rsidRPr="009D3C6B">
        <w:rPr>
          <w:i/>
          <w:iCs/>
          <w:noProof/>
        </w:rPr>
        <w:t>Progress in Development Studies</w:t>
      </w:r>
      <w:r w:rsidRPr="009D3C6B">
        <w:rPr>
          <w:noProof/>
        </w:rPr>
        <w:t>. https://doi.org/10.1191/1464993402ps042ra</w:t>
      </w:r>
    </w:p>
    <w:p w14:paraId="2BCF560C" w14:textId="77777777" w:rsidR="000465D9" w:rsidRPr="009D3C6B" w:rsidRDefault="000465D9" w:rsidP="000465D9">
      <w:pPr>
        <w:widowControl w:val="0"/>
        <w:autoSpaceDE w:val="0"/>
        <w:autoSpaceDN w:val="0"/>
        <w:adjustRightInd w:val="0"/>
        <w:ind w:left="480" w:hanging="480"/>
        <w:jc w:val="both"/>
        <w:rPr>
          <w:noProof/>
        </w:rPr>
      </w:pPr>
      <w:r w:rsidRPr="009D3C6B">
        <w:rPr>
          <w:noProof/>
        </w:rPr>
        <w:t xml:space="preserve">Syahrum., S. (2014). Quantitative Research Methodology. </w:t>
      </w:r>
      <w:r w:rsidRPr="009D3C6B">
        <w:rPr>
          <w:i/>
          <w:iCs/>
          <w:noProof/>
        </w:rPr>
        <w:t>Komunikasi Penelitian Kuantitatif Program Studi Jurnalistik &amp; Humas</w:t>
      </w:r>
      <w:r w:rsidRPr="009D3C6B">
        <w:rPr>
          <w:noProof/>
        </w:rPr>
        <w:t>.</w:t>
      </w:r>
    </w:p>
    <w:p w14:paraId="4C24E6E5" w14:textId="77777777" w:rsidR="000465D9" w:rsidRPr="009D3C6B" w:rsidRDefault="000465D9" w:rsidP="000465D9">
      <w:pPr>
        <w:autoSpaceDE w:val="0"/>
        <w:autoSpaceDN w:val="0"/>
        <w:adjustRightInd w:val="0"/>
        <w:spacing w:line="360" w:lineRule="auto"/>
        <w:ind w:left="709" w:hanging="709"/>
        <w:jc w:val="both"/>
        <w:rPr>
          <w:lang w:val="id-ID"/>
        </w:rPr>
      </w:pPr>
      <w:r w:rsidRPr="009D3C6B">
        <w:rPr>
          <w:b/>
          <w:lang w:val="id-ID"/>
        </w:rPr>
        <w:fldChar w:fldCharType="end"/>
      </w:r>
      <w:r w:rsidRPr="009D3C6B">
        <w:rPr>
          <w:lang w:val="id-ID"/>
        </w:rPr>
        <w:t xml:space="preserve"> </w:t>
      </w:r>
    </w:p>
    <w:p w14:paraId="0630D4DD" w14:textId="3734F354" w:rsidR="000E665C" w:rsidRPr="009D3C6B" w:rsidRDefault="000E665C" w:rsidP="00A96A7D">
      <w:pPr>
        <w:autoSpaceDE w:val="0"/>
        <w:autoSpaceDN w:val="0"/>
        <w:adjustRightInd w:val="0"/>
        <w:spacing w:line="360" w:lineRule="auto"/>
        <w:ind w:left="709" w:hanging="709"/>
        <w:jc w:val="center"/>
        <w:rPr>
          <w:b/>
          <w:lang w:val="id-ID"/>
        </w:rPr>
      </w:pPr>
    </w:p>
    <w:p w14:paraId="4A887138" w14:textId="77777777" w:rsidR="000465D9" w:rsidRPr="009D3C6B" w:rsidRDefault="000465D9" w:rsidP="00A96A7D">
      <w:pPr>
        <w:autoSpaceDE w:val="0"/>
        <w:autoSpaceDN w:val="0"/>
        <w:adjustRightInd w:val="0"/>
        <w:spacing w:line="360" w:lineRule="auto"/>
        <w:ind w:left="709" w:hanging="709"/>
        <w:jc w:val="center"/>
        <w:rPr>
          <w:b/>
          <w:lang w:val="id-ID"/>
        </w:rPr>
      </w:pPr>
    </w:p>
    <w:sectPr w:rsidR="000465D9" w:rsidRPr="009D3C6B" w:rsidSect="00D81D22">
      <w:footerReference w:type="default" r:id="rId18"/>
      <w:type w:val="continuous"/>
      <w:pgSz w:w="11907" w:h="16840" w:code="9"/>
      <w:pgMar w:top="1701" w:right="992" w:bottom="1701" w:left="2268" w:header="1134" w:footer="851"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A86226" w14:textId="77777777" w:rsidR="00BC2C2F" w:rsidRDefault="00BC2C2F" w:rsidP="001762FA">
      <w:r>
        <w:separator/>
      </w:r>
    </w:p>
  </w:endnote>
  <w:endnote w:type="continuationSeparator" w:id="0">
    <w:p w14:paraId="61F258F9" w14:textId="77777777" w:rsidR="00BC2C2F" w:rsidRDefault="00BC2C2F" w:rsidP="0017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819410"/>
      <w:docPartObj>
        <w:docPartGallery w:val="Page Numbers (Bottom of Page)"/>
        <w:docPartUnique/>
      </w:docPartObj>
    </w:sdtPr>
    <w:sdtEndPr>
      <w:rPr>
        <w:noProof/>
      </w:rPr>
    </w:sdtEndPr>
    <w:sdtContent>
      <w:p w14:paraId="3B36B974" w14:textId="5ACD34C4" w:rsidR="00BD0E55" w:rsidRDefault="00BD0E55">
        <w:pPr>
          <w:pStyle w:val="Footer"/>
          <w:jc w:val="right"/>
        </w:pPr>
        <w:r>
          <w:fldChar w:fldCharType="begin"/>
        </w:r>
        <w:r>
          <w:instrText xml:space="preserve"> PAGE   \* MERGEFORMAT </w:instrText>
        </w:r>
        <w:r>
          <w:fldChar w:fldCharType="separate"/>
        </w:r>
        <w:r w:rsidR="00B46AB4">
          <w:rPr>
            <w:noProof/>
          </w:rPr>
          <w:t>2</w:t>
        </w:r>
        <w:r>
          <w:rPr>
            <w:noProof/>
          </w:rPr>
          <w:fldChar w:fldCharType="end"/>
        </w:r>
      </w:p>
    </w:sdtContent>
  </w:sdt>
  <w:p w14:paraId="3F2771CA" w14:textId="77777777" w:rsidR="00BD0E55" w:rsidRDefault="00BD0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EB249" w14:textId="77777777" w:rsidR="00BC2C2F" w:rsidRDefault="00BC2C2F" w:rsidP="001762FA">
      <w:r>
        <w:separator/>
      </w:r>
    </w:p>
  </w:footnote>
  <w:footnote w:type="continuationSeparator" w:id="0">
    <w:p w14:paraId="6980FD39" w14:textId="77777777" w:rsidR="00BC2C2F" w:rsidRDefault="00BC2C2F" w:rsidP="001762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878"/>
    <w:multiLevelType w:val="multilevel"/>
    <w:tmpl w:val="EDF2026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BEE533F"/>
    <w:multiLevelType w:val="multilevel"/>
    <w:tmpl w:val="ACE0BB3E"/>
    <w:lvl w:ilvl="0">
      <w:start w:val="5"/>
      <w:numFmt w:val="decimal"/>
      <w:lvlText w:val="%1"/>
      <w:lvlJc w:val="left"/>
      <w:pPr>
        <w:ind w:left="360" w:hanging="360"/>
      </w:pPr>
      <w:rPr>
        <w:rFonts w:hint="default"/>
      </w:rPr>
    </w:lvl>
    <w:lvl w:ilvl="1">
      <w:start w:val="1"/>
      <w:numFmt w:val="decimal"/>
      <w:lvlText w:val="%1.%2"/>
      <w:lvlJc w:val="left"/>
      <w:pPr>
        <w:ind w:left="2040" w:hanging="360"/>
      </w:pPr>
      <w:rPr>
        <w:rFonts w:hint="default"/>
      </w:rPr>
    </w:lvl>
    <w:lvl w:ilvl="2">
      <w:start w:val="1"/>
      <w:numFmt w:val="decimal"/>
      <w:lvlText w:val="%1.%2.%3"/>
      <w:lvlJc w:val="left"/>
      <w:pPr>
        <w:ind w:left="4080" w:hanging="720"/>
      </w:pPr>
      <w:rPr>
        <w:rFonts w:hint="default"/>
      </w:rPr>
    </w:lvl>
    <w:lvl w:ilvl="3">
      <w:start w:val="1"/>
      <w:numFmt w:val="decimal"/>
      <w:lvlText w:val="%1.%2.%3.%4"/>
      <w:lvlJc w:val="left"/>
      <w:pPr>
        <w:ind w:left="5760" w:hanging="720"/>
      </w:pPr>
      <w:rPr>
        <w:rFonts w:hint="default"/>
      </w:rPr>
    </w:lvl>
    <w:lvl w:ilvl="4">
      <w:start w:val="1"/>
      <w:numFmt w:val="decimal"/>
      <w:lvlText w:val="%1.%2.%3.%4.%5"/>
      <w:lvlJc w:val="left"/>
      <w:pPr>
        <w:ind w:left="7800" w:hanging="1080"/>
      </w:pPr>
      <w:rPr>
        <w:rFonts w:hint="default"/>
      </w:rPr>
    </w:lvl>
    <w:lvl w:ilvl="5">
      <w:start w:val="1"/>
      <w:numFmt w:val="decimal"/>
      <w:lvlText w:val="%1.%2.%3.%4.%5.%6"/>
      <w:lvlJc w:val="left"/>
      <w:pPr>
        <w:ind w:left="9480" w:hanging="1080"/>
      </w:pPr>
      <w:rPr>
        <w:rFonts w:hint="default"/>
      </w:rPr>
    </w:lvl>
    <w:lvl w:ilvl="6">
      <w:start w:val="1"/>
      <w:numFmt w:val="decimal"/>
      <w:lvlText w:val="%1.%2.%3.%4.%5.%6.%7"/>
      <w:lvlJc w:val="left"/>
      <w:pPr>
        <w:ind w:left="11520" w:hanging="1440"/>
      </w:pPr>
      <w:rPr>
        <w:rFonts w:hint="default"/>
      </w:rPr>
    </w:lvl>
    <w:lvl w:ilvl="7">
      <w:start w:val="1"/>
      <w:numFmt w:val="decimal"/>
      <w:lvlText w:val="%1.%2.%3.%4.%5.%6.%7.%8"/>
      <w:lvlJc w:val="left"/>
      <w:pPr>
        <w:ind w:left="13200" w:hanging="1440"/>
      </w:pPr>
      <w:rPr>
        <w:rFonts w:hint="default"/>
      </w:rPr>
    </w:lvl>
    <w:lvl w:ilvl="8">
      <w:start w:val="1"/>
      <w:numFmt w:val="decimal"/>
      <w:lvlText w:val="%1.%2.%3.%4.%5.%6.%7.%8.%9"/>
      <w:lvlJc w:val="left"/>
      <w:pPr>
        <w:ind w:left="15240" w:hanging="1800"/>
      </w:pPr>
      <w:rPr>
        <w:rFonts w:hint="default"/>
      </w:rPr>
    </w:lvl>
  </w:abstractNum>
  <w:abstractNum w:abstractNumId="2">
    <w:nsid w:val="0BF15013"/>
    <w:multiLevelType w:val="hybridMultilevel"/>
    <w:tmpl w:val="7E7869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D23C49"/>
    <w:multiLevelType w:val="hybridMultilevel"/>
    <w:tmpl w:val="A55C2B6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
    <w:nsid w:val="1C342AC5"/>
    <w:multiLevelType w:val="hybridMultilevel"/>
    <w:tmpl w:val="2F5AEB6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DCD7DFE"/>
    <w:multiLevelType w:val="multilevel"/>
    <w:tmpl w:val="E19250FA"/>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nsid w:val="27CF7A40"/>
    <w:multiLevelType w:val="hybridMultilevel"/>
    <w:tmpl w:val="A55C2B6C"/>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2D500273"/>
    <w:multiLevelType w:val="hybridMultilevel"/>
    <w:tmpl w:val="6CCC4D7E"/>
    <w:lvl w:ilvl="0" w:tplc="04210011">
      <w:start w:val="1"/>
      <w:numFmt w:val="decimal"/>
      <w:lvlText w:val="%1)"/>
      <w:lvlJc w:val="left"/>
      <w:pPr>
        <w:ind w:left="1170" w:hanging="360"/>
      </w:p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8">
    <w:nsid w:val="2F9E6A50"/>
    <w:multiLevelType w:val="multilevel"/>
    <w:tmpl w:val="AF5E538C"/>
    <w:lvl w:ilvl="0">
      <w:start w:val="3"/>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9">
    <w:nsid w:val="330D2768"/>
    <w:multiLevelType w:val="multilevel"/>
    <w:tmpl w:val="D9B23C10"/>
    <w:lvl w:ilvl="0">
      <w:start w:val="3"/>
      <w:numFmt w:val="decimal"/>
      <w:lvlText w:val="%1."/>
      <w:lvlJc w:val="left"/>
      <w:pPr>
        <w:ind w:left="360" w:hanging="360"/>
      </w:pPr>
      <w:rPr>
        <w:rFonts w:hint="default"/>
      </w:rPr>
    </w:lvl>
    <w:lvl w:ilvl="1">
      <w:start w:val="6"/>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0">
    <w:nsid w:val="37FC7E77"/>
    <w:multiLevelType w:val="hybridMultilevel"/>
    <w:tmpl w:val="2F5AEB6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nsid w:val="457F6BEB"/>
    <w:multiLevelType w:val="multilevel"/>
    <w:tmpl w:val="2FF66A68"/>
    <w:lvl w:ilvl="0">
      <w:start w:val="1"/>
      <w:numFmt w:val="decimal"/>
      <w:lvlText w:val="%1."/>
      <w:lvlJc w:val="left"/>
      <w:pPr>
        <w:ind w:left="114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226" w:hanging="144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586"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46" w:hanging="2160"/>
      </w:pPr>
      <w:rPr>
        <w:rFonts w:hint="default"/>
      </w:rPr>
    </w:lvl>
  </w:abstractNum>
  <w:abstractNum w:abstractNumId="12">
    <w:nsid w:val="4D3A7D6D"/>
    <w:multiLevelType w:val="hybridMultilevel"/>
    <w:tmpl w:val="F522D070"/>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nsid w:val="56484A51"/>
    <w:multiLevelType w:val="hybridMultilevel"/>
    <w:tmpl w:val="01ECFD0E"/>
    <w:lvl w:ilvl="0" w:tplc="647C8392">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5799494E"/>
    <w:multiLevelType w:val="hybridMultilevel"/>
    <w:tmpl w:val="2F3693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6A502B8"/>
    <w:multiLevelType w:val="multilevel"/>
    <w:tmpl w:val="DA9E7B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71F3FDB"/>
    <w:multiLevelType w:val="hybridMultilevel"/>
    <w:tmpl w:val="E81C1E40"/>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79266CE4"/>
    <w:multiLevelType w:val="multilevel"/>
    <w:tmpl w:val="7F9E393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B9D038A"/>
    <w:multiLevelType w:val="hybridMultilevel"/>
    <w:tmpl w:val="C064753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FE37C4A"/>
    <w:multiLevelType w:val="hybridMultilevel"/>
    <w:tmpl w:val="9316358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13"/>
  </w:num>
  <w:num w:numId="3">
    <w:abstractNumId w:val="16"/>
  </w:num>
  <w:num w:numId="4">
    <w:abstractNumId w:val="6"/>
  </w:num>
  <w:num w:numId="5">
    <w:abstractNumId w:val="20"/>
  </w:num>
  <w:num w:numId="6">
    <w:abstractNumId w:val="8"/>
  </w:num>
  <w:num w:numId="7">
    <w:abstractNumId w:val="7"/>
  </w:num>
  <w:num w:numId="8">
    <w:abstractNumId w:val="9"/>
  </w:num>
  <w:num w:numId="9">
    <w:abstractNumId w:val="17"/>
  </w:num>
  <w:num w:numId="10">
    <w:abstractNumId w:val="1"/>
  </w:num>
  <w:num w:numId="11">
    <w:abstractNumId w:val="19"/>
  </w:num>
  <w:num w:numId="12">
    <w:abstractNumId w:val="21"/>
  </w:num>
  <w:num w:numId="13">
    <w:abstractNumId w:val="0"/>
  </w:num>
  <w:num w:numId="14">
    <w:abstractNumId w:val="15"/>
  </w:num>
  <w:num w:numId="15">
    <w:abstractNumId w:val="12"/>
  </w:num>
  <w:num w:numId="16">
    <w:abstractNumId w:val="11"/>
  </w:num>
  <w:num w:numId="17">
    <w:abstractNumId w:val="10"/>
  </w:num>
  <w:num w:numId="18">
    <w:abstractNumId w:val="2"/>
  </w:num>
  <w:num w:numId="19">
    <w:abstractNumId w:val="18"/>
  </w:num>
  <w:num w:numId="20">
    <w:abstractNumId w:val="14"/>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4C5"/>
    <w:rsid w:val="00001BC5"/>
    <w:rsid w:val="00013C48"/>
    <w:rsid w:val="000155C4"/>
    <w:rsid w:val="0001706E"/>
    <w:rsid w:val="00034AB3"/>
    <w:rsid w:val="000465D9"/>
    <w:rsid w:val="00054DFF"/>
    <w:rsid w:val="00056B22"/>
    <w:rsid w:val="000608EB"/>
    <w:rsid w:val="00067ACD"/>
    <w:rsid w:val="00070082"/>
    <w:rsid w:val="00085FAB"/>
    <w:rsid w:val="000918EF"/>
    <w:rsid w:val="000A1385"/>
    <w:rsid w:val="000A2BE3"/>
    <w:rsid w:val="000C235F"/>
    <w:rsid w:val="000C598F"/>
    <w:rsid w:val="000C5A50"/>
    <w:rsid w:val="000D2584"/>
    <w:rsid w:val="000D3033"/>
    <w:rsid w:val="000E5A82"/>
    <w:rsid w:val="000E665C"/>
    <w:rsid w:val="000F3509"/>
    <w:rsid w:val="000F6608"/>
    <w:rsid w:val="001071E4"/>
    <w:rsid w:val="001173FD"/>
    <w:rsid w:val="00122656"/>
    <w:rsid w:val="00130A76"/>
    <w:rsid w:val="00136C97"/>
    <w:rsid w:val="00140BC2"/>
    <w:rsid w:val="00140DB4"/>
    <w:rsid w:val="00145EC2"/>
    <w:rsid w:val="00161EF8"/>
    <w:rsid w:val="001655A1"/>
    <w:rsid w:val="001733F1"/>
    <w:rsid w:val="001762FA"/>
    <w:rsid w:val="0018193D"/>
    <w:rsid w:val="00182DA1"/>
    <w:rsid w:val="001B488B"/>
    <w:rsid w:val="001B4D9D"/>
    <w:rsid w:val="001C22E5"/>
    <w:rsid w:val="001C3910"/>
    <w:rsid w:val="001C6C5E"/>
    <w:rsid w:val="001C7F1E"/>
    <w:rsid w:val="001D21FF"/>
    <w:rsid w:val="001D25B8"/>
    <w:rsid w:val="001D4A2C"/>
    <w:rsid w:val="00211BE3"/>
    <w:rsid w:val="00215A4C"/>
    <w:rsid w:val="002213C4"/>
    <w:rsid w:val="00221B51"/>
    <w:rsid w:val="00224A02"/>
    <w:rsid w:val="00225C8A"/>
    <w:rsid w:val="002416F3"/>
    <w:rsid w:val="00253A98"/>
    <w:rsid w:val="00280951"/>
    <w:rsid w:val="002C7139"/>
    <w:rsid w:val="00307464"/>
    <w:rsid w:val="00314E97"/>
    <w:rsid w:val="00324E4D"/>
    <w:rsid w:val="00325126"/>
    <w:rsid w:val="003259C1"/>
    <w:rsid w:val="00335534"/>
    <w:rsid w:val="0034637E"/>
    <w:rsid w:val="00365341"/>
    <w:rsid w:val="003725D8"/>
    <w:rsid w:val="003904CB"/>
    <w:rsid w:val="00395909"/>
    <w:rsid w:val="003975F1"/>
    <w:rsid w:val="003A3B1A"/>
    <w:rsid w:val="003A6FD8"/>
    <w:rsid w:val="003B052D"/>
    <w:rsid w:val="003B346B"/>
    <w:rsid w:val="003C369F"/>
    <w:rsid w:val="003E104B"/>
    <w:rsid w:val="003E68D9"/>
    <w:rsid w:val="003F0FF2"/>
    <w:rsid w:val="00405573"/>
    <w:rsid w:val="0042528D"/>
    <w:rsid w:val="00425EDF"/>
    <w:rsid w:val="00440A4C"/>
    <w:rsid w:val="0044101E"/>
    <w:rsid w:val="0044605D"/>
    <w:rsid w:val="00451E0E"/>
    <w:rsid w:val="00477F24"/>
    <w:rsid w:val="004A1923"/>
    <w:rsid w:val="004A3731"/>
    <w:rsid w:val="004D016C"/>
    <w:rsid w:val="004D568D"/>
    <w:rsid w:val="004D74ED"/>
    <w:rsid w:val="004E7C86"/>
    <w:rsid w:val="004F10B1"/>
    <w:rsid w:val="0050469D"/>
    <w:rsid w:val="00510710"/>
    <w:rsid w:val="0052064C"/>
    <w:rsid w:val="00522BDB"/>
    <w:rsid w:val="00530B0C"/>
    <w:rsid w:val="00547279"/>
    <w:rsid w:val="0055409C"/>
    <w:rsid w:val="00577CB4"/>
    <w:rsid w:val="00581CD2"/>
    <w:rsid w:val="005A180A"/>
    <w:rsid w:val="005A6C21"/>
    <w:rsid w:val="005B5A87"/>
    <w:rsid w:val="005D5B35"/>
    <w:rsid w:val="005F016F"/>
    <w:rsid w:val="0060024F"/>
    <w:rsid w:val="00600E8D"/>
    <w:rsid w:val="00606AA8"/>
    <w:rsid w:val="006178B6"/>
    <w:rsid w:val="00631148"/>
    <w:rsid w:val="00632E39"/>
    <w:rsid w:val="00646BA3"/>
    <w:rsid w:val="00654165"/>
    <w:rsid w:val="00660829"/>
    <w:rsid w:val="00666267"/>
    <w:rsid w:val="006722F2"/>
    <w:rsid w:val="00674438"/>
    <w:rsid w:val="006764BD"/>
    <w:rsid w:val="006B7AAB"/>
    <w:rsid w:val="006C6FFA"/>
    <w:rsid w:val="006D5CAC"/>
    <w:rsid w:val="006D60D2"/>
    <w:rsid w:val="006E48EA"/>
    <w:rsid w:val="006E4FDE"/>
    <w:rsid w:val="006F5602"/>
    <w:rsid w:val="006F62A8"/>
    <w:rsid w:val="00701518"/>
    <w:rsid w:val="007120B4"/>
    <w:rsid w:val="00715734"/>
    <w:rsid w:val="00727F9F"/>
    <w:rsid w:val="00735772"/>
    <w:rsid w:val="00751FA3"/>
    <w:rsid w:val="00760DBC"/>
    <w:rsid w:val="00761056"/>
    <w:rsid w:val="0076419F"/>
    <w:rsid w:val="007679EA"/>
    <w:rsid w:val="00776965"/>
    <w:rsid w:val="00792E48"/>
    <w:rsid w:val="00793C93"/>
    <w:rsid w:val="007A6ED7"/>
    <w:rsid w:val="007B1E42"/>
    <w:rsid w:val="007B2141"/>
    <w:rsid w:val="007C0F6F"/>
    <w:rsid w:val="007C7784"/>
    <w:rsid w:val="007E1FB3"/>
    <w:rsid w:val="007E3C8A"/>
    <w:rsid w:val="007F248D"/>
    <w:rsid w:val="00802554"/>
    <w:rsid w:val="00820193"/>
    <w:rsid w:val="00820508"/>
    <w:rsid w:val="00822472"/>
    <w:rsid w:val="00825587"/>
    <w:rsid w:val="0083021A"/>
    <w:rsid w:val="00840BB2"/>
    <w:rsid w:val="008421B6"/>
    <w:rsid w:val="00874EFB"/>
    <w:rsid w:val="00881F35"/>
    <w:rsid w:val="008964D8"/>
    <w:rsid w:val="00896A41"/>
    <w:rsid w:val="008A081B"/>
    <w:rsid w:val="008A31B4"/>
    <w:rsid w:val="008A40DF"/>
    <w:rsid w:val="008B4474"/>
    <w:rsid w:val="008D4511"/>
    <w:rsid w:val="008D51C0"/>
    <w:rsid w:val="008D6C1E"/>
    <w:rsid w:val="00910258"/>
    <w:rsid w:val="009114A9"/>
    <w:rsid w:val="00911DC7"/>
    <w:rsid w:val="00912098"/>
    <w:rsid w:val="00913057"/>
    <w:rsid w:val="00914FD9"/>
    <w:rsid w:val="00917B90"/>
    <w:rsid w:val="00932152"/>
    <w:rsid w:val="00946579"/>
    <w:rsid w:val="00946821"/>
    <w:rsid w:val="0095546B"/>
    <w:rsid w:val="00956CFA"/>
    <w:rsid w:val="00961B01"/>
    <w:rsid w:val="009644C5"/>
    <w:rsid w:val="00972322"/>
    <w:rsid w:val="00980035"/>
    <w:rsid w:val="00985C48"/>
    <w:rsid w:val="009866F4"/>
    <w:rsid w:val="00991A32"/>
    <w:rsid w:val="009C7A6C"/>
    <w:rsid w:val="009D3C6B"/>
    <w:rsid w:val="009F2EB5"/>
    <w:rsid w:val="00A01A6D"/>
    <w:rsid w:val="00A11509"/>
    <w:rsid w:val="00A115DA"/>
    <w:rsid w:val="00A142CE"/>
    <w:rsid w:val="00A335D6"/>
    <w:rsid w:val="00A348D9"/>
    <w:rsid w:val="00A431BF"/>
    <w:rsid w:val="00A50C77"/>
    <w:rsid w:val="00A67505"/>
    <w:rsid w:val="00A96A7D"/>
    <w:rsid w:val="00A9740E"/>
    <w:rsid w:val="00AA057E"/>
    <w:rsid w:val="00AA24B2"/>
    <w:rsid w:val="00AB216B"/>
    <w:rsid w:val="00AB3E08"/>
    <w:rsid w:val="00AC4A18"/>
    <w:rsid w:val="00AD182D"/>
    <w:rsid w:val="00AD4DF4"/>
    <w:rsid w:val="00AD79C0"/>
    <w:rsid w:val="00AE7238"/>
    <w:rsid w:val="00B2059C"/>
    <w:rsid w:val="00B24D0D"/>
    <w:rsid w:val="00B31458"/>
    <w:rsid w:val="00B36780"/>
    <w:rsid w:val="00B4308A"/>
    <w:rsid w:val="00B4401A"/>
    <w:rsid w:val="00B45768"/>
    <w:rsid w:val="00B46AB4"/>
    <w:rsid w:val="00B51DDA"/>
    <w:rsid w:val="00B53BDB"/>
    <w:rsid w:val="00B54972"/>
    <w:rsid w:val="00B73DE8"/>
    <w:rsid w:val="00B767DC"/>
    <w:rsid w:val="00B80CC0"/>
    <w:rsid w:val="00BA3C53"/>
    <w:rsid w:val="00BA77C0"/>
    <w:rsid w:val="00BB0070"/>
    <w:rsid w:val="00BB479D"/>
    <w:rsid w:val="00BB6A5E"/>
    <w:rsid w:val="00BC2C2F"/>
    <w:rsid w:val="00BD0E55"/>
    <w:rsid w:val="00BD7EB7"/>
    <w:rsid w:val="00BE133D"/>
    <w:rsid w:val="00C004FA"/>
    <w:rsid w:val="00C02F54"/>
    <w:rsid w:val="00C0605D"/>
    <w:rsid w:val="00C23DC9"/>
    <w:rsid w:val="00C24F43"/>
    <w:rsid w:val="00C25AD4"/>
    <w:rsid w:val="00C26739"/>
    <w:rsid w:val="00C352A6"/>
    <w:rsid w:val="00C5553A"/>
    <w:rsid w:val="00C60941"/>
    <w:rsid w:val="00C82728"/>
    <w:rsid w:val="00C82C0F"/>
    <w:rsid w:val="00CA5388"/>
    <w:rsid w:val="00CA575C"/>
    <w:rsid w:val="00CB1248"/>
    <w:rsid w:val="00CB6FC9"/>
    <w:rsid w:val="00CD03C9"/>
    <w:rsid w:val="00CD0B92"/>
    <w:rsid w:val="00CD0D4A"/>
    <w:rsid w:val="00CD4F20"/>
    <w:rsid w:val="00CE0A83"/>
    <w:rsid w:val="00D05397"/>
    <w:rsid w:val="00D10398"/>
    <w:rsid w:val="00D10BA3"/>
    <w:rsid w:val="00D12842"/>
    <w:rsid w:val="00D12B07"/>
    <w:rsid w:val="00D20891"/>
    <w:rsid w:val="00D216B6"/>
    <w:rsid w:val="00D24E44"/>
    <w:rsid w:val="00D262C6"/>
    <w:rsid w:val="00D34032"/>
    <w:rsid w:val="00D35E2E"/>
    <w:rsid w:val="00D407E6"/>
    <w:rsid w:val="00D50EFC"/>
    <w:rsid w:val="00D60DD2"/>
    <w:rsid w:val="00D81D22"/>
    <w:rsid w:val="00D82426"/>
    <w:rsid w:val="00D82F8F"/>
    <w:rsid w:val="00D84485"/>
    <w:rsid w:val="00D92AEB"/>
    <w:rsid w:val="00D953F0"/>
    <w:rsid w:val="00D95941"/>
    <w:rsid w:val="00D96228"/>
    <w:rsid w:val="00D96302"/>
    <w:rsid w:val="00DA23F0"/>
    <w:rsid w:val="00DD57FB"/>
    <w:rsid w:val="00DF12D0"/>
    <w:rsid w:val="00DF787D"/>
    <w:rsid w:val="00E12CB6"/>
    <w:rsid w:val="00E15F60"/>
    <w:rsid w:val="00E309AB"/>
    <w:rsid w:val="00E34835"/>
    <w:rsid w:val="00E4442C"/>
    <w:rsid w:val="00E65387"/>
    <w:rsid w:val="00E758E0"/>
    <w:rsid w:val="00E8067D"/>
    <w:rsid w:val="00E80765"/>
    <w:rsid w:val="00E81CDC"/>
    <w:rsid w:val="00E829FD"/>
    <w:rsid w:val="00E95F10"/>
    <w:rsid w:val="00E97D37"/>
    <w:rsid w:val="00EA36DF"/>
    <w:rsid w:val="00EA439C"/>
    <w:rsid w:val="00EC3C9A"/>
    <w:rsid w:val="00ED6A3D"/>
    <w:rsid w:val="00EE077F"/>
    <w:rsid w:val="00EE4D65"/>
    <w:rsid w:val="00EF1798"/>
    <w:rsid w:val="00F04AE0"/>
    <w:rsid w:val="00F1149F"/>
    <w:rsid w:val="00F2344C"/>
    <w:rsid w:val="00F24129"/>
    <w:rsid w:val="00F321E7"/>
    <w:rsid w:val="00F37E78"/>
    <w:rsid w:val="00F46D7B"/>
    <w:rsid w:val="00F54144"/>
    <w:rsid w:val="00F55B38"/>
    <w:rsid w:val="00F65B5E"/>
    <w:rsid w:val="00F806F8"/>
    <w:rsid w:val="00F86DA5"/>
    <w:rsid w:val="00F90E13"/>
    <w:rsid w:val="00FA2EF4"/>
    <w:rsid w:val="00FD7512"/>
    <w:rsid w:val="00FD7A2A"/>
    <w:rsid w:val="00FF1512"/>
    <w:rsid w:val="00FF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B69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44C5"/>
    <w:pPr>
      <w:numPr>
        <w:numId w:val="1"/>
      </w:numPr>
      <w:spacing w:before="240" w:after="120"/>
      <w:outlineLvl w:val="0"/>
    </w:pPr>
    <w:rPr>
      <w:b/>
      <w:color w:val="000000"/>
      <w:sz w:val="22"/>
      <w:szCs w:val="22"/>
    </w:rPr>
  </w:style>
  <w:style w:type="paragraph" w:styleId="Heading2">
    <w:name w:val="heading 2"/>
    <w:basedOn w:val="Normal"/>
    <w:next w:val="Normal"/>
    <w:link w:val="Heading2Char"/>
    <w:uiPriority w:val="9"/>
    <w:semiHidden/>
    <w:unhideWhenUsed/>
    <w:qFormat/>
    <w:rsid w:val="00964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4E4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F01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4C5"/>
    <w:rPr>
      <w:rFonts w:ascii="Times New Roman" w:eastAsia="Times New Roman" w:hAnsi="Times New Roman" w:cs="Times New Roman"/>
      <w:b/>
      <w:color w:val="000000"/>
    </w:rPr>
  </w:style>
  <w:style w:type="paragraph" w:styleId="BodyText">
    <w:name w:val="Body Text"/>
    <w:basedOn w:val="Normal"/>
    <w:link w:val="BodyTextChar"/>
    <w:rsid w:val="009644C5"/>
    <w:pPr>
      <w:jc w:val="center"/>
    </w:pPr>
    <w:rPr>
      <w:sz w:val="20"/>
      <w:szCs w:val="20"/>
    </w:rPr>
  </w:style>
  <w:style w:type="character" w:customStyle="1" w:styleId="BodyTextChar">
    <w:name w:val="Body Text Char"/>
    <w:basedOn w:val="DefaultParagraphFont"/>
    <w:link w:val="BodyText"/>
    <w:rsid w:val="009644C5"/>
    <w:rPr>
      <w:rFonts w:ascii="Times New Roman" w:eastAsia="Times New Roman" w:hAnsi="Times New Roman" w:cs="Times New Roman"/>
      <w:sz w:val="20"/>
      <w:szCs w:val="20"/>
    </w:rPr>
  </w:style>
  <w:style w:type="paragraph" w:customStyle="1" w:styleId="ICTSAuthorIdentity">
    <w:name w:val="ICTS_AuthorIdentity"/>
    <w:basedOn w:val="BodyText3"/>
    <w:rsid w:val="009644C5"/>
  </w:style>
  <w:style w:type="character" w:styleId="Hyperlink">
    <w:name w:val="Hyperlink"/>
    <w:rsid w:val="009644C5"/>
    <w:rPr>
      <w:color w:val="0000FF"/>
      <w:u w:val="single"/>
    </w:rPr>
  </w:style>
  <w:style w:type="paragraph" w:customStyle="1" w:styleId="Body">
    <w:name w:val="Body"/>
    <w:basedOn w:val="Normal"/>
    <w:link w:val="BodyChar"/>
    <w:qFormat/>
    <w:rsid w:val="009644C5"/>
    <w:pPr>
      <w:spacing w:after="60"/>
      <w:ind w:firstLine="425"/>
      <w:jc w:val="both"/>
    </w:pPr>
    <w:rPr>
      <w:color w:val="000000"/>
      <w:sz w:val="22"/>
      <w:szCs w:val="22"/>
      <w:lang w:val="fi-FI"/>
    </w:rPr>
  </w:style>
  <w:style w:type="character" w:customStyle="1" w:styleId="BodyChar">
    <w:name w:val="Body Char"/>
    <w:link w:val="Body"/>
    <w:rsid w:val="009644C5"/>
    <w:rPr>
      <w:rFonts w:ascii="Times New Roman" w:eastAsia="Times New Roman" w:hAnsi="Times New Roman" w:cs="Times New Roman"/>
      <w:color w:val="000000"/>
      <w:lang w:val="fi-FI"/>
    </w:rPr>
  </w:style>
  <w:style w:type="paragraph" w:styleId="Footer">
    <w:name w:val="footer"/>
    <w:basedOn w:val="Normal"/>
    <w:link w:val="FooterChar"/>
    <w:uiPriority w:val="99"/>
    <w:rsid w:val="009644C5"/>
    <w:pPr>
      <w:tabs>
        <w:tab w:val="center" w:pos="4513"/>
        <w:tab w:val="right" w:pos="9026"/>
      </w:tabs>
    </w:pPr>
  </w:style>
  <w:style w:type="character" w:customStyle="1" w:styleId="FooterChar">
    <w:name w:val="Footer Char"/>
    <w:basedOn w:val="DefaultParagraphFont"/>
    <w:link w:val="Footer"/>
    <w:uiPriority w:val="99"/>
    <w:rsid w:val="009644C5"/>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644C5"/>
    <w:pPr>
      <w:spacing w:after="200"/>
    </w:pPr>
    <w:rPr>
      <w:rFonts w:asciiTheme="minorHAnsi" w:eastAsiaTheme="minorHAnsi" w:hAnsiTheme="minorHAnsi" w:cstheme="minorBidi"/>
      <w:b/>
      <w:bCs/>
      <w:color w:val="5B9BD5" w:themeColor="accent1"/>
      <w:sz w:val="18"/>
      <w:szCs w:val="18"/>
    </w:rPr>
  </w:style>
  <w:style w:type="paragraph" w:customStyle="1" w:styleId="Abstract">
    <w:name w:val="Abstract"/>
    <w:basedOn w:val="BodyText"/>
    <w:qFormat/>
    <w:rsid w:val="009644C5"/>
    <w:pPr>
      <w:jc w:val="both"/>
    </w:pPr>
    <w:rPr>
      <w:i/>
    </w:rPr>
  </w:style>
  <w:style w:type="paragraph" w:customStyle="1" w:styleId="Judul2">
    <w:name w:val="Judul 2"/>
    <w:basedOn w:val="BodyText"/>
    <w:qFormat/>
    <w:rsid w:val="009644C5"/>
    <w:pPr>
      <w:spacing w:before="120" w:after="120"/>
    </w:pPr>
    <w:rPr>
      <w:b/>
      <w:lang w:val="id-ID"/>
    </w:rPr>
  </w:style>
  <w:style w:type="paragraph" w:customStyle="1" w:styleId="IJLEGBodyText">
    <w:name w:val="IJLEG Body Text"/>
    <w:basedOn w:val="ListParagraph"/>
    <w:qFormat/>
    <w:rsid w:val="009644C5"/>
    <w:pPr>
      <w:spacing w:after="60"/>
      <w:ind w:left="0" w:firstLine="425"/>
      <w:contextualSpacing w:val="0"/>
      <w:jc w:val="both"/>
    </w:pPr>
    <w:rPr>
      <w:sz w:val="22"/>
      <w:szCs w:val="22"/>
      <w:lang w:val="id-ID"/>
    </w:rPr>
  </w:style>
  <w:style w:type="paragraph" w:customStyle="1" w:styleId="JEESTBodyText">
    <w:name w:val="JEEST Body Text"/>
    <w:basedOn w:val="ListParagraph"/>
    <w:qFormat/>
    <w:rsid w:val="009644C5"/>
    <w:pPr>
      <w:spacing w:after="60"/>
      <w:ind w:left="0" w:firstLine="425"/>
      <w:contextualSpacing w:val="0"/>
      <w:jc w:val="both"/>
    </w:pPr>
    <w:rPr>
      <w:sz w:val="22"/>
      <w:szCs w:val="22"/>
      <w:lang w:val="id-ID"/>
    </w:rPr>
  </w:style>
  <w:style w:type="paragraph" w:customStyle="1" w:styleId="JEESTHeading2">
    <w:name w:val="JEEST Heading 2"/>
    <w:basedOn w:val="Heading2"/>
    <w:link w:val="JEESTHeading2Char"/>
    <w:qFormat/>
    <w:rsid w:val="009644C5"/>
    <w:pPr>
      <w:keepNext w:val="0"/>
      <w:keepLines w:val="0"/>
      <w:spacing w:before="240" w:after="120"/>
    </w:pPr>
    <w:rPr>
      <w:rFonts w:ascii="Times New Roman" w:eastAsia="Times New Roman" w:hAnsi="Times New Roman" w:cs="Times New Roman"/>
      <w:b/>
      <w:lang w:val="id-ID" w:eastAsia="ja-JP"/>
    </w:rPr>
  </w:style>
  <w:style w:type="character" w:customStyle="1" w:styleId="JEESTHeading2Char">
    <w:name w:val="JEEST Heading 2 Char"/>
    <w:basedOn w:val="Heading2Char"/>
    <w:link w:val="JEESTHeading2"/>
    <w:rsid w:val="009644C5"/>
    <w:rPr>
      <w:rFonts w:ascii="Times New Roman" w:eastAsia="Times New Roman" w:hAnsi="Times New Roman" w:cs="Times New Roman"/>
      <w:b/>
      <w:color w:val="2E74B5" w:themeColor="accent1" w:themeShade="BF"/>
      <w:sz w:val="26"/>
      <w:szCs w:val="26"/>
      <w:lang w:val="id-ID" w:eastAsia="ja-JP"/>
    </w:rPr>
  </w:style>
  <w:style w:type="paragraph" w:customStyle="1" w:styleId="JEESFigure">
    <w:name w:val="JEES Figure"/>
    <w:basedOn w:val="Normal"/>
    <w:qFormat/>
    <w:rsid w:val="009644C5"/>
    <w:pPr>
      <w:spacing w:before="120"/>
      <w:jc w:val="center"/>
    </w:pPr>
    <w:rPr>
      <w:sz w:val="22"/>
      <w:szCs w:val="22"/>
      <w:lang w:val="id-ID" w:bidi="en-US"/>
    </w:rPr>
  </w:style>
  <w:style w:type="paragraph" w:styleId="Bibliography">
    <w:name w:val="Bibliography"/>
    <w:basedOn w:val="Normal"/>
    <w:next w:val="Normal"/>
    <w:uiPriority w:val="37"/>
    <w:semiHidden/>
    <w:unhideWhenUsed/>
    <w:rsid w:val="009644C5"/>
  </w:style>
  <w:style w:type="table" w:styleId="TableGrid">
    <w:name w:val="Table Grid"/>
    <w:basedOn w:val="TableNormal"/>
    <w:uiPriority w:val="59"/>
    <w:rsid w:val="00964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9644C5"/>
    <w:pPr>
      <w:spacing w:after="120"/>
    </w:pPr>
    <w:rPr>
      <w:sz w:val="16"/>
      <w:szCs w:val="16"/>
    </w:rPr>
  </w:style>
  <w:style w:type="character" w:customStyle="1" w:styleId="BodyText3Char">
    <w:name w:val="Body Text 3 Char"/>
    <w:basedOn w:val="DefaultParagraphFont"/>
    <w:link w:val="BodyText3"/>
    <w:uiPriority w:val="99"/>
    <w:semiHidden/>
    <w:rsid w:val="009644C5"/>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9644C5"/>
    <w:pPr>
      <w:ind w:left="720"/>
      <w:contextualSpacing/>
    </w:pPr>
  </w:style>
  <w:style w:type="character" w:customStyle="1" w:styleId="Heading2Char">
    <w:name w:val="Heading 2 Char"/>
    <w:basedOn w:val="DefaultParagraphFont"/>
    <w:link w:val="Heading2"/>
    <w:uiPriority w:val="9"/>
    <w:semiHidden/>
    <w:rsid w:val="009644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762FA"/>
    <w:pPr>
      <w:tabs>
        <w:tab w:val="center" w:pos="4680"/>
        <w:tab w:val="right" w:pos="9360"/>
      </w:tabs>
    </w:pPr>
  </w:style>
  <w:style w:type="character" w:customStyle="1" w:styleId="HeaderChar">
    <w:name w:val="Header Char"/>
    <w:basedOn w:val="DefaultParagraphFont"/>
    <w:link w:val="Header"/>
    <w:uiPriority w:val="99"/>
    <w:rsid w:val="001762FA"/>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12842"/>
    <w:rPr>
      <w:i/>
      <w:iCs/>
    </w:rPr>
  </w:style>
  <w:style w:type="paragraph" w:customStyle="1" w:styleId="Penulis">
    <w:name w:val="Penulis"/>
    <w:next w:val="Normal"/>
    <w:autoRedefine/>
    <w:qFormat/>
    <w:rsid w:val="00E34835"/>
    <w:pPr>
      <w:spacing w:after="0" w:line="240" w:lineRule="auto"/>
    </w:pPr>
    <w:rPr>
      <w:rFonts w:ascii="Century Schoolbook" w:eastAsia="Calibri" w:hAnsi="Century Schoolbook" w:cs="Tahoma"/>
      <w:b/>
      <w:iCs/>
    </w:rPr>
  </w:style>
  <w:style w:type="paragraph" w:customStyle="1" w:styleId="IsiArtikel">
    <w:name w:val="Isi Artikel"/>
    <w:basedOn w:val="ListParagraph"/>
    <w:link w:val="IsiArtikelChar"/>
    <w:qFormat/>
    <w:rsid w:val="00F90E13"/>
    <w:pPr>
      <w:spacing w:before="120"/>
      <w:ind w:left="0" w:firstLine="720"/>
      <w:jc w:val="both"/>
    </w:pPr>
    <w:rPr>
      <w:rFonts w:ascii="Century Schoolbook" w:eastAsia="Calibri" w:hAnsi="Century Schoolbook"/>
      <w:sz w:val="22"/>
      <w:szCs w:val="22"/>
    </w:rPr>
  </w:style>
  <w:style w:type="character" w:customStyle="1" w:styleId="IsiArtikelChar">
    <w:name w:val="Isi Artikel Char"/>
    <w:basedOn w:val="DefaultParagraphFont"/>
    <w:link w:val="IsiArtikel"/>
    <w:rsid w:val="00F90E13"/>
    <w:rPr>
      <w:rFonts w:ascii="Century Schoolbook" w:eastAsia="Calibri" w:hAnsi="Century Schoolbook" w:cs="Times New Roman"/>
    </w:rPr>
  </w:style>
  <w:style w:type="character" w:customStyle="1" w:styleId="UnresolvedMention1">
    <w:name w:val="Unresolved Mention1"/>
    <w:basedOn w:val="DefaultParagraphFont"/>
    <w:uiPriority w:val="99"/>
    <w:semiHidden/>
    <w:unhideWhenUsed/>
    <w:rsid w:val="00F90E13"/>
    <w:rPr>
      <w:color w:val="605E5C"/>
      <w:shd w:val="clear" w:color="auto" w:fill="E1DFDD"/>
    </w:rPr>
  </w:style>
  <w:style w:type="paragraph" w:styleId="Title">
    <w:name w:val="Title"/>
    <w:aliases w:val="Sub Bab,Section"/>
    <w:next w:val="Normal"/>
    <w:link w:val="TitleChar"/>
    <w:autoRedefine/>
    <w:uiPriority w:val="10"/>
    <w:qFormat/>
    <w:rsid w:val="002C7139"/>
    <w:pPr>
      <w:spacing w:before="120" w:after="0" w:line="240" w:lineRule="auto"/>
      <w:jc w:val="both"/>
      <w:outlineLvl w:val="0"/>
    </w:pPr>
    <w:rPr>
      <w:rFonts w:ascii="Century Schoolbook" w:eastAsia="Times New Roman" w:hAnsi="Century Schoolbook" w:cs="Times New Roman"/>
      <w:b/>
      <w:bCs/>
      <w:iCs/>
      <w:kern w:val="28"/>
      <w:szCs w:val="32"/>
    </w:rPr>
  </w:style>
  <w:style w:type="character" w:customStyle="1" w:styleId="TitleChar">
    <w:name w:val="Title Char"/>
    <w:aliases w:val="Sub Bab Char,Section Char"/>
    <w:basedOn w:val="DefaultParagraphFont"/>
    <w:link w:val="Title"/>
    <w:uiPriority w:val="10"/>
    <w:rsid w:val="002C7139"/>
    <w:rPr>
      <w:rFonts w:ascii="Century Schoolbook" w:eastAsia="Times New Roman" w:hAnsi="Century Schoolbook" w:cs="Times New Roman"/>
      <w:b/>
      <w:bCs/>
      <w:iCs/>
      <w:kern w:val="28"/>
      <w:szCs w:val="32"/>
    </w:rPr>
  </w:style>
  <w:style w:type="character" w:styleId="Strong">
    <w:name w:val="Strong"/>
    <w:qFormat/>
    <w:rsid w:val="002C7139"/>
    <w:rPr>
      <w:rFonts w:cs="Times New Roman"/>
      <w:b/>
      <w:bCs/>
    </w:rPr>
  </w:style>
  <w:style w:type="paragraph" w:customStyle="1" w:styleId="references">
    <w:name w:val="references"/>
    <w:rsid w:val="002C7139"/>
    <w:pPr>
      <w:numPr>
        <w:numId w:val="2"/>
      </w:numPr>
      <w:spacing w:after="40" w:line="180" w:lineRule="exact"/>
      <w:jc w:val="both"/>
    </w:pPr>
    <w:rPr>
      <w:rFonts w:ascii="Times New Roman" w:eastAsia="SimSun" w:hAnsi="Times New Roman" w:cs="Times New Roman"/>
      <w:sz w:val="16"/>
      <w:szCs w:val="20"/>
    </w:rPr>
  </w:style>
  <w:style w:type="character" w:customStyle="1" w:styleId="apple-style-span">
    <w:name w:val="apple-style-span"/>
    <w:rsid w:val="002C7139"/>
  </w:style>
  <w:style w:type="paragraph" w:styleId="HTMLPreformatted">
    <w:name w:val="HTML Preformatted"/>
    <w:basedOn w:val="Normal"/>
    <w:link w:val="HTMLPreformattedChar"/>
    <w:uiPriority w:val="99"/>
    <w:rsid w:val="002C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2C7139"/>
    <w:rPr>
      <w:rFonts w:ascii="Courier New" w:eastAsia="Times New Roman" w:hAnsi="Courier New" w:cs="Times New Roman"/>
      <w:sz w:val="20"/>
      <w:szCs w:val="20"/>
    </w:rPr>
  </w:style>
  <w:style w:type="character" w:styleId="Emphasis">
    <w:name w:val="Emphasis"/>
    <w:uiPriority w:val="20"/>
    <w:qFormat/>
    <w:rsid w:val="002C7139"/>
    <w:rPr>
      <w:i/>
      <w:iCs/>
    </w:rPr>
  </w:style>
  <w:style w:type="character" w:customStyle="1" w:styleId="Heading4Char">
    <w:name w:val="Heading 4 Char"/>
    <w:basedOn w:val="DefaultParagraphFont"/>
    <w:link w:val="Heading4"/>
    <w:uiPriority w:val="9"/>
    <w:semiHidden/>
    <w:rsid w:val="005F016F"/>
    <w:rPr>
      <w:rFonts w:asciiTheme="majorHAnsi" w:eastAsiaTheme="majorEastAsia" w:hAnsiTheme="majorHAnsi" w:cstheme="majorBidi"/>
      <w:i/>
      <w:iCs/>
      <w:color w:val="2E74B5" w:themeColor="accent1" w:themeShade="BF"/>
      <w:sz w:val="24"/>
      <w:szCs w:val="24"/>
    </w:rPr>
  </w:style>
  <w:style w:type="character" w:customStyle="1" w:styleId="tlid-translation">
    <w:name w:val="tlid-translation"/>
    <w:basedOn w:val="DefaultParagraphFont"/>
    <w:rsid w:val="00B53BDB"/>
  </w:style>
  <w:style w:type="paragraph" w:styleId="BalloonText">
    <w:name w:val="Balloon Text"/>
    <w:basedOn w:val="Normal"/>
    <w:link w:val="BalloonTextChar"/>
    <w:uiPriority w:val="99"/>
    <w:semiHidden/>
    <w:unhideWhenUsed/>
    <w:rsid w:val="00AA24B2"/>
    <w:rPr>
      <w:rFonts w:ascii="Tahoma" w:hAnsi="Tahoma" w:cs="Tahoma"/>
      <w:sz w:val="16"/>
      <w:szCs w:val="16"/>
    </w:rPr>
  </w:style>
  <w:style w:type="character" w:customStyle="1" w:styleId="BalloonTextChar">
    <w:name w:val="Balloon Text Char"/>
    <w:basedOn w:val="DefaultParagraphFont"/>
    <w:link w:val="BalloonText"/>
    <w:uiPriority w:val="99"/>
    <w:semiHidden/>
    <w:rsid w:val="00AA24B2"/>
    <w:rPr>
      <w:rFonts w:ascii="Tahoma" w:eastAsia="Times New Roman" w:hAnsi="Tahoma" w:cs="Tahoma"/>
      <w:sz w:val="16"/>
      <w:szCs w:val="16"/>
    </w:rPr>
  </w:style>
  <w:style w:type="paragraph" w:styleId="NoSpacing">
    <w:name w:val="No Spacing"/>
    <w:uiPriority w:val="1"/>
    <w:qFormat/>
    <w:rsid w:val="008D6C1E"/>
    <w:pPr>
      <w:spacing w:after="0" w:line="240" w:lineRule="auto"/>
    </w:pPr>
  </w:style>
  <w:style w:type="character" w:customStyle="1" w:styleId="ListParagraphChar">
    <w:name w:val="List Paragraph Char"/>
    <w:link w:val="ListParagraph"/>
    <w:uiPriority w:val="34"/>
    <w:rsid w:val="00314E97"/>
    <w:rPr>
      <w:rFonts w:ascii="Times New Roman" w:eastAsia="Times New Roman" w:hAnsi="Times New Roman" w:cs="Times New Roman"/>
      <w:sz w:val="24"/>
      <w:szCs w:val="24"/>
    </w:rPr>
  </w:style>
  <w:style w:type="paragraph" w:styleId="NormalWeb">
    <w:name w:val="Normal (Web)"/>
    <w:basedOn w:val="Normal"/>
    <w:uiPriority w:val="99"/>
    <w:unhideWhenUsed/>
    <w:rsid w:val="00A11509"/>
    <w:pPr>
      <w:spacing w:before="100" w:beforeAutospacing="1" w:after="100" w:afterAutospacing="1"/>
    </w:pPr>
    <w:rPr>
      <w:lang w:val="id-ID" w:eastAsia="id-ID"/>
    </w:rPr>
  </w:style>
  <w:style w:type="character" w:styleId="PlaceholderText">
    <w:name w:val="Placeholder Text"/>
    <w:basedOn w:val="DefaultParagraphFont"/>
    <w:uiPriority w:val="99"/>
    <w:semiHidden/>
    <w:rsid w:val="00646BA3"/>
    <w:rPr>
      <w:color w:val="808080"/>
    </w:rPr>
  </w:style>
  <w:style w:type="paragraph" w:customStyle="1" w:styleId="Default">
    <w:name w:val="Default"/>
    <w:rsid w:val="00D962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225C8A"/>
  </w:style>
  <w:style w:type="character" w:customStyle="1" w:styleId="Heading3Char">
    <w:name w:val="Heading 3 Char"/>
    <w:basedOn w:val="DefaultParagraphFont"/>
    <w:link w:val="Heading3"/>
    <w:uiPriority w:val="9"/>
    <w:rsid w:val="00D24E44"/>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4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44C5"/>
    <w:pPr>
      <w:numPr>
        <w:numId w:val="1"/>
      </w:numPr>
      <w:spacing w:before="240" w:after="120"/>
      <w:outlineLvl w:val="0"/>
    </w:pPr>
    <w:rPr>
      <w:b/>
      <w:color w:val="000000"/>
      <w:sz w:val="22"/>
      <w:szCs w:val="22"/>
    </w:rPr>
  </w:style>
  <w:style w:type="paragraph" w:styleId="Heading2">
    <w:name w:val="heading 2"/>
    <w:basedOn w:val="Normal"/>
    <w:next w:val="Normal"/>
    <w:link w:val="Heading2Char"/>
    <w:uiPriority w:val="9"/>
    <w:semiHidden/>
    <w:unhideWhenUsed/>
    <w:qFormat/>
    <w:rsid w:val="00964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24E44"/>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F01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4C5"/>
    <w:rPr>
      <w:rFonts w:ascii="Times New Roman" w:eastAsia="Times New Roman" w:hAnsi="Times New Roman" w:cs="Times New Roman"/>
      <w:b/>
      <w:color w:val="000000"/>
    </w:rPr>
  </w:style>
  <w:style w:type="paragraph" w:styleId="BodyText">
    <w:name w:val="Body Text"/>
    <w:basedOn w:val="Normal"/>
    <w:link w:val="BodyTextChar"/>
    <w:rsid w:val="009644C5"/>
    <w:pPr>
      <w:jc w:val="center"/>
    </w:pPr>
    <w:rPr>
      <w:sz w:val="20"/>
      <w:szCs w:val="20"/>
    </w:rPr>
  </w:style>
  <w:style w:type="character" w:customStyle="1" w:styleId="BodyTextChar">
    <w:name w:val="Body Text Char"/>
    <w:basedOn w:val="DefaultParagraphFont"/>
    <w:link w:val="BodyText"/>
    <w:rsid w:val="009644C5"/>
    <w:rPr>
      <w:rFonts w:ascii="Times New Roman" w:eastAsia="Times New Roman" w:hAnsi="Times New Roman" w:cs="Times New Roman"/>
      <w:sz w:val="20"/>
      <w:szCs w:val="20"/>
    </w:rPr>
  </w:style>
  <w:style w:type="paragraph" w:customStyle="1" w:styleId="ICTSAuthorIdentity">
    <w:name w:val="ICTS_AuthorIdentity"/>
    <w:basedOn w:val="BodyText3"/>
    <w:rsid w:val="009644C5"/>
  </w:style>
  <w:style w:type="character" w:styleId="Hyperlink">
    <w:name w:val="Hyperlink"/>
    <w:rsid w:val="009644C5"/>
    <w:rPr>
      <w:color w:val="0000FF"/>
      <w:u w:val="single"/>
    </w:rPr>
  </w:style>
  <w:style w:type="paragraph" w:customStyle="1" w:styleId="Body">
    <w:name w:val="Body"/>
    <w:basedOn w:val="Normal"/>
    <w:link w:val="BodyChar"/>
    <w:qFormat/>
    <w:rsid w:val="009644C5"/>
    <w:pPr>
      <w:spacing w:after="60"/>
      <w:ind w:firstLine="425"/>
      <w:jc w:val="both"/>
    </w:pPr>
    <w:rPr>
      <w:color w:val="000000"/>
      <w:sz w:val="22"/>
      <w:szCs w:val="22"/>
      <w:lang w:val="fi-FI"/>
    </w:rPr>
  </w:style>
  <w:style w:type="character" w:customStyle="1" w:styleId="BodyChar">
    <w:name w:val="Body Char"/>
    <w:link w:val="Body"/>
    <w:rsid w:val="009644C5"/>
    <w:rPr>
      <w:rFonts w:ascii="Times New Roman" w:eastAsia="Times New Roman" w:hAnsi="Times New Roman" w:cs="Times New Roman"/>
      <w:color w:val="000000"/>
      <w:lang w:val="fi-FI"/>
    </w:rPr>
  </w:style>
  <w:style w:type="paragraph" w:styleId="Footer">
    <w:name w:val="footer"/>
    <w:basedOn w:val="Normal"/>
    <w:link w:val="FooterChar"/>
    <w:uiPriority w:val="99"/>
    <w:rsid w:val="009644C5"/>
    <w:pPr>
      <w:tabs>
        <w:tab w:val="center" w:pos="4513"/>
        <w:tab w:val="right" w:pos="9026"/>
      </w:tabs>
    </w:pPr>
  </w:style>
  <w:style w:type="character" w:customStyle="1" w:styleId="FooterChar">
    <w:name w:val="Footer Char"/>
    <w:basedOn w:val="DefaultParagraphFont"/>
    <w:link w:val="Footer"/>
    <w:uiPriority w:val="99"/>
    <w:rsid w:val="009644C5"/>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644C5"/>
    <w:pPr>
      <w:spacing w:after="200"/>
    </w:pPr>
    <w:rPr>
      <w:rFonts w:asciiTheme="minorHAnsi" w:eastAsiaTheme="minorHAnsi" w:hAnsiTheme="minorHAnsi" w:cstheme="minorBidi"/>
      <w:b/>
      <w:bCs/>
      <w:color w:val="5B9BD5" w:themeColor="accent1"/>
      <w:sz w:val="18"/>
      <w:szCs w:val="18"/>
    </w:rPr>
  </w:style>
  <w:style w:type="paragraph" w:customStyle="1" w:styleId="Abstract">
    <w:name w:val="Abstract"/>
    <w:basedOn w:val="BodyText"/>
    <w:qFormat/>
    <w:rsid w:val="009644C5"/>
    <w:pPr>
      <w:jc w:val="both"/>
    </w:pPr>
    <w:rPr>
      <w:i/>
    </w:rPr>
  </w:style>
  <w:style w:type="paragraph" w:customStyle="1" w:styleId="Judul2">
    <w:name w:val="Judul 2"/>
    <w:basedOn w:val="BodyText"/>
    <w:qFormat/>
    <w:rsid w:val="009644C5"/>
    <w:pPr>
      <w:spacing w:before="120" w:after="120"/>
    </w:pPr>
    <w:rPr>
      <w:b/>
      <w:lang w:val="id-ID"/>
    </w:rPr>
  </w:style>
  <w:style w:type="paragraph" w:customStyle="1" w:styleId="IJLEGBodyText">
    <w:name w:val="IJLEG Body Text"/>
    <w:basedOn w:val="ListParagraph"/>
    <w:qFormat/>
    <w:rsid w:val="009644C5"/>
    <w:pPr>
      <w:spacing w:after="60"/>
      <w:ind w:left="0" w:firstLine="425"/>
      <w:contextualSpacing w:val="0"/>
      <w:jc w:val="both"/>
    </w:pPr>
    <w:rPr>
      <w:sz w:val="22"/>
      <w:szCs w:val="22"/>
      <w:lang w:val="id-ID"/>
    </w:rPr>
  </w:style>
  <w:style w:type="paragraph" w:customStyle="1" w:styleId="JEESTBodyText">
    <w:name w:val="JEEST Body Text"/>
    <w:basedOn w:val="ListParagraph"/>
    <w:qFormat/>
    <w:rsid w:val="009644C5"/>
    <w:pPr>
      <w:spacing w:after="60"/>
      <w:ind w:left="0" w:firstLine="425"/>
      <w:contextualSpacing w:val="0"/>
      <w:jc w:val="both"/>
    </w:pPr>
    <w:rPr>
      <w:sz w:val="22"/>
      <w:szCs w:val="22"/>
      <w:lang w:val="id-ID"/>
    </w:rPr>
  </w:style>
  <w:style w:type="paragraph" w:customStyle="1" w:styleId="JEESTHeading2">
    <w:name w:val="JEEST Heading 2"/>
    <w:basedOn w:val="Heading2"/>
    <w:link w:val="JEESTHeading2Char"/>
    <w:qFormat/>
    <w:rsid w:val="009644C5"/>
    <w:pPr>
      <w:keepNext w:val="0"/>
      <w:keepLines w:val="0"/>
      <w:spacing w:before="240" w:after="120"/>
    </w:pPr>
    <w:rPr>
      <w:rFonts w:ascii="Times New Roman" w:eastAsia="Times New Roman" w:hAnsi="Times New Roman" w:cs="Times New Roman"/>
      <w:b/>
      <w:lang w:val="id-ID" w:eastAsia="ja-JP"/>
    </w:rPr>
  </w:style>
  <w:style w:type="character" w:customStyle="1" w:styleId="JEESTHeading2Char">
    <w:name w:val="JEEST Heading 2 Char"/>
    <w:basedOn w:val="Heading2Char"/>
    <w:link w:val="JEESTHeading2"/>
    <w:rsid w:val="009644C5"/>
    <w:rPr>
      <w:rFonts w:ascii="Times New Roman" w:eastAsia="Times New Roman" w:hAnsi="Times New Roman" w:cs="Times New Roman"/>
      <w:b/>
      <w:color w:val="2E74B5" w:themeColor="accent1" w:themeShade="BF"/>
      <w:sz w:val="26"/>
      <w:szCs w:val="26"/>
      <w:lang w:val="id-ID" w:eastAsia="ja-JP"/>
    </w:rPr>
  </w:style>
  <w:style w:type="paragraph" w:customStyle="1" w:styleId="JEESFigure">
    <w:name w:val="JEES Figure"/>
    <w:basedOn w:val="Normal"/>
    <w:qFormat/>
    <w:rsid w:val="009644C5"/>
    <w:pPr>
      <w:spacing w:before="120"/>
      <w:jc w:val="center"/>
    </w:pPr>
    <w:rPr>
      <w:sz w:val="22"/>
      <w:szCs w:val="22"/>
      <w:lang w:val="id-ID" w:bidi="en-US"/>
    </w:rPr>
  </w:style>
  <w:style w:type="paragraph" w:styleId="Bibliography">
    <w:name w:val="Bibliography"/>
    <w:basedOn w:val="Normal"/>
    <w:next w:val="Normal"/>
    <w:uiPriority w:val="37"/>
    <w:semiHidden/>
    <w:unhideWhenUsed/>
    <w:rsid w:val="009644C5"/>
  </w:style>
  <w:style w:type="table" w:styleId="TableGrid">
    <w:name w:val="Table Grid"/>
    <w:basedOn w:val="TableNormal"/>
    <w:uiPriority w:val="59"/>
    <w:rsid w:val="00964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semiHidden/>
    <w:unhideWhenUsed/>
    <w:rsid w:val="009644C5"/>
    <w:pPr>
      <w:spacing w:after="120"/>
    </w:pPr>
    <w:rPr>
      <w:sz w:val="16"/>
      <w:szCs w:val="16"/>
    </w:rPr>
  </w:style>
  <w:style w:type="character" w:customStyle="1" w:styleId="BodyText3Char">
    <w:name w:val="Body Text 3 Char"/>
    <w:basedOn w:val="DefaultParagraphFont"/>
    <w:link w:val="BodyText3"/>
    <w:uiPriority w:val="99"/>
    <w:semiHidden/>
    <w:rsid w:val="009644C5"/>
    <w:rPr>
      <w:rFonts w:ascii="Times New Roman" w:eastAsia="Times New Roman" w:hAnsi="Times New Roman" w:cs="Times New Roman"/>
      <w:sz w:val="16"/>
      <w:szCs w:val="16"/>
    </w:rPr>
  </w:style>
  <w:style w:type="paragraph" w:styleId="ListParagraph">
    <w:name w:val="List Paragraph"/>
    <w:basedOn w:val="Normal"/>
    <w:link w:val="ListParagraphChar"/>
    <w:uiPriority w:val="34"/>
    <w:qFormat/>
    <w:rsid w:val="009644C5"/>
    <w:pPr>
      <w:ind w:left="720"/>
      <w:contextualSpacing/>
    </w:pPr>
  </w:style>
  <w:style w:type="character" w:customStyle="1" w:styleId="Heading2Char">
    <w:name w:val="Heading 2 Char"/>
    <w:basedOn w:val="DefaultParagraphFont"/>
    <w:link w:val="Heading2"/>
    <w:uiPriority w:val="9"/>
    <w:semiHidden/>
    <w:rsid w:val="009644C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762FA"/>
    <w:pPr>
      <w:tabs>
        <w:tab w:val="center" w:pos="4680"/>
        <w:tab w:val="right" w:pos="9360"/>
      </w:tabs>
    </w:pPr>
  </w:style>
  <w:style w:type="character" w:customStyle="1" w:styleId="HeaderChar">
    <w:name w:val="Header Char"/>
    <w:basedOn w:val="DefaultParagraphFont"/>
    <w:link w:val="Header"/>
    <w:uiPriority w:val="99"/>
    <w:rsid w:val="001762FA"/>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12842"/>
    <w:rPr>
      <w:i/>
      <w:iCs/>
    </w:rPr>
  </w:style>
  <w:style w:type="paragraph" w:customStyle="1" w:styleId="Penulis">
    <w:name w:val="Penulis"/>
    <w:next w:val="Normal"/>
    <w:autoRedefine/>
    <w:qFormat/>
    <w:rsid w:val="00E34835"/>
    <w:pPr>
      <w:spacing w:after="0" w:line="240" w:lineRule="auto"/>
    </w:pPr>
    <w:rPr>
      <w:rFonts w:ascii="Century Schoolbook" w:eastAsia="Calibri" w:hAnsi="Century Schoolbook" w:cs="Tahoma"/>
      <w:b/>
      <w:iCs/>
    </w:rPr>
  </w:style>
  <w:style w:type="paragraph" w:customStyle="1" w:styleId="IsiArtikel">
    <w:name w:val="Isi Artikel"/>
    <w:basedOn w:val="ListParagraph"/>
    <w:link w:val="IsiArtikelChar"/>
    <w:qFormat/>
    <w:rsid w:val="00F90E13"/>
    <w:pPr>
      <w:spacing w:before="120"/>
      <w:ind w:left="0" w:firstLine="720"/>
      <w:jc w:val="both"/>
    </w:pPr>
    <w:rPr>
      <w:rFonts w:ascii="Century Schoolbook" w:eastAsia="Calibri" w:hAnsi="Century Schoolbook"/>
      <w:sz w:val="22"/>
      <w:szCs w:val="22"/>
    </w:rPr>
  </w:style>
  <w:style w:type="character" w:customStyle="1" w:styleId="IsiArtikelChar">
    <w:name w:val="Isi Artikel Char"/>
    <w:basedOn w:val="DefaultParagraphFont"/>
    <w:link w:val="IsiArtikel"/>
    <w:rsid w:val="00F90E13"/>
    <w:rPr>
      <w:rFonts w:ascii="Century Schoolbook" w:eastAsia="Calibri" w:hAnsi="Century Schoolbook" w:cs="Times New Roman"/>
    </w:rPr>
  </w:style>
  <w:style w:type="character" w:customStyle="1" w:styleId="UnresolvedMention1">
    <w:name w:val="Unresolved Mention1"/>
    <w:basedOn w:val="DefaultParagraphFont"/>
    <w:uiPriority w:val="99"/>
    <w:semiHidden/>
    <w:unhideWhenUsed/>
    <w:rsid w:val="00F90E13"/>
    <w:rPr>
      <w:color w:val="605E5C"/>
      <w:shd w:val="clear" w:color="auto" w:fill="E1DFDD"/>
    </w:rPr>
  </w:style>
  <w:style w:type="paragraph" w:styleId="Title">
    <w:name w:val="Title"/>
    <w:aliases w:val="Sub Bab,Section"/>
    <w:next w:val="Normal"/>
    <w:link w:val="TitleChar"/>
    <w:autoRedefine/>
    <w:uiPriority w:val="10"/>
    <w:qFormat/>
    <w:rsid w:val="002C7139"/>
    <w:pPr>
      <w:spacing w:before="120" w:after="0" w:line="240" w:lineRule="auto"/>
      <w:jc w:val="both"/>
      <w:outlineLvl w:val="0"/>
    </w:pPr>
    <w:rPr>
      <w:rFonts w:ascii="Century Schoolbook" w:eastAsia="Times New Roman" w:hAnsi="Century Schoolbook" w:cs="Times New Roman"/>
      <w:b/>
      <w:bCs/>
      <w:iCs/>
      <w:kern w:val="28"/>
      <w:szCs w:val="32"/>
    </w:rPr>
  </w:style>
  <w:style w:type="character" w:customStyle="1" w:styleId="TitleChar">
    <w:name w:val="Title Char"/>
    <w:aliases w:val="Sub Bab Char,Section Char"/>
    <w:basedOn w:val="DefaultParagraphFont"/>
    <w:link w:val="Title"/>
    <w:uiPriority w:val="10"/>
    <w:rsid w:val="002C7139"/>
    <w:rPr>
      <w:rFonts w:ascii="Century Schoolbook" w:eastAsia="Times New Roman" w:hAnsi="Century Schoolbook" w:cs="Times New Roman"/>
      <w:b/>
      <w:bCs/>
      <w:iCs/>
      <w:kern w:val="28"/>
      <w:szCs w:val="32"/>
    </w:rPr>
  </w:style>
  <w:style w:type="character" w:styleId="Strong">
    <w:name w:val="Strong"/>
    <w:qFormat/>
    <w:rsid w:val="002C7139"/>
    <w:rPr>
      <w:rFonts w:cs="Times New Roman"/>
      <w:b/>
      <w:bCs/>
    </w:rPr>
  </w:style>
  <w:style w:type="paragraph" w:customStyle="1" w:styleId="references">
    <w:name w:val="references"/>
    <w:rsid w:val="002C7139"/>
    <w:pPr>
      <w:numPr>
        <w:numId w:val="2"/>
      </w:numPr>
      <w:spacing w:after="40" w:line="180" w:lineRule="exact"/>
      <w:jc w:val="both"/>
    </w:pPr>
    <w:rPr>
      <w:rFonts w:ascii="Times New Roman" w:eastAsia="SimSun" w:hAnsi="Times New Roman" w:cs="Times New Roman"/>
      <w:sz w:val="16"/>
      <w:szCs w:val="20"/>
    </w:rPr>
  </w:style>
  <w:style w:type="character" w:customStyle="1" w:styleId="apple-style-span">
    <w:name w:val="apple-style-span"/>
    <w:rsid w:val="002C7139"/>
  </w:style>
  <w:style w:type="paragraph" w:styleId="HTMLPreformatted">
    <w:name w:val="HTML Preformatted"/>
    <w:basedOn w:val="Normal"/>
    <w:link w:val="HTMLPreformattedChar"/>
    <w:uiPriority w:val="99"/>
    <w:rsid w:val="002C7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2C7139"/>
    <w:rPr>
      <w:rFonts w:ascii="Courier New" w:eastAsia="Times New Roman" w:hAnsi="Courier New" w:cs="Times New Roman"/>
      <w:sz w:val="20"/>
      <w:szCs w:val="20"/>
    </w:rPr>
  </w:style>
  <w:style w:type="character" w:styleId="Emphasis">
    <w:name w:val="Emphasis"/>
    <w:uiPriority w:val="20"/>
    <w:qFormat/>
    <w:rsid w:val="002C7139"/>
    <w:rPr>
      <w:i/>
      <w:iCs/>
    </w:rPr>
  </w:style>
  <w:style w:type="character" w:customStyle="1" w:styleId="Heading4Char">
    <w:name w:val="Heading 4 Char"/>
    <w:basedOn w:val="DefaultParagraphFont"/>
    <w:link w:val="Heading4"/>
    <w:uiPriority w:val="9"/>
    <w:semiHidden/>
    <w:rsid w:val="005F016F"/>
    <w:rPr>
      <w:rFonts w:asciiTheme="majorHAnsi" w:eastAsiaTheme="majorEastAsia" w:hAnsiTheme="majorHAnsi" w:cstheme="majorBidi"/>
      <w:i/>
      <w:iCs/>
      <w:color w:val="2E74B5" w:themeColor="accent1" w:themeShade="BF"/>
      <w:sz w:val="24"/>
      <w:szCs w:val="24"/>
    </w:rPr>
  </w:style>
  <w:style w:type="character" w:customStyle="1" w:styleId="tlid-translation">
    <w:name w:val="tlid-translation"/>
    <w:basedOn w:val="DefaultParagraphFont"/>
    <w:rsid w:val="00B53BDB"/>
  </w:style>
  <w:style w:type="paragraph" w:styleId="BalloonText">
    <w:name w:val="Balloon Text"/>
    <w:basedOn w:val="Normal"/>
    <w:link w:val="BalloonTextChar"/>
    <w:uiPriority w:val="99"/>
    <w:semiHidden/>
    <w:unhideWhenUsed/>
    <w:rsid w:val="00AA24B2"/>
    <w:rPr>
      <w:rFonts w:ascii="Tahoma" w:hAnsi="Tahoma" w:cs="Tahoma"/>
      <w:sz w:val="16"/>
      <w:szCs w:val="16"/>
    </w:rPr>
  </w:style>
  <w:style w:type="character" w:customStyle="1" w:styleId="BalloonTextChar">
    <w:name w:val="Balloon Text Char"/>
    <w:basedOn w:val="DefaultParagraphFont"/>
    <w:link w:val="BalloonText"/>
    <w:uiPriority w:val="99"/>
    <w:semiHidden/>
    <w:rsid w:val="00AA24B2"/>
    <w:rPr>
      <w:rFonts w:ascii="Tahoma" w:eastAsia="Times New Roman" w:hAnsi="Tahoma" w:cs="Tahoma"/>
      <w:sz w:val="16"/>
      <w:szCs w:val="16"/>
    </w:rPr>
  </w:style>
  <w:style w:type="paragraph" w:styleId="NoSpacing">
    <w:name w:val="No Spacing"/>
    <w:uiPriority w:val="1"/>
    <w:qFormat/>
    <w:rsid w:val="008D6C1E"/>
    <w:pPr>
      <w:spacing w:after="0" w:line="240" w:lineRule="auto"/>
    </w:pPr>
  </w:style>
  <w:style w:type="character" w:customStyle="1" w:styleId="ListParagraphChar">
    <w:name w:val="List Paragraph Char"/>
    <w:link w:val="ListParagraph"/>
    <w:uiPriority w:val="34"/>
    <w:rsid w:val="00314E97"/>
    <w:rPr>
      <w:rFonts w:ascii="Times New Roman" w:eastAsia="Times New Roman" w:hAnsi="Times New Roman" w:cs="Times New Roman"/>
      <w:sz w:val="24"/>
      <w:szCs w:val="24"/>
    </w:rPr>
  </w:style>
  <w:style w:type="paragraph" w:styleId="NormalWeb">
    <w:name w:val="Normal (Web)"/>
    <w:basedOn w:val="Normal"/>
    <w:uiPriority w:val="99"/>
    <w:unhideWhenUsed/>
    <w:rsid w:val="00A11509"/>
    <w:pPr>
      <w:spacing w:before="100" w:beforeAutospacing="1" w:after="100" w:afterAutospacing="1"/>
    </w:pPr>
    <w:rPr>
      <w:lang w:val="id-ID" w:eastAsia="id-ID"/>
    </w:rPr>
  </w:style>
  <w:style w:type="character" w:styleId="PlaceholderText">
    <w:name w:val="Placeholder Text"/>
    <w:basedOn w:val="DefaultParagraphFont"/>
    <w:uiPriority w:val="99"/>
    <w:semiHidden/>
    <w:rsid w:val="00646BA3"/>
    <w:rPr>
      <w:color w:val="808080"/>
    </w:rPr>
  </w:style>
  <w:style w:type="paragraph" w:customStyle="1" w:styleId="Default">
    <w:name w:val="Default"/>
    <w:rsid w:val="00D962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225C8A"/>
  </w:style>
  <w:style w:type="character" w:customStyle="1" w:styleId="Heading3Char">
    <w:name w:val="Heading 3 Char"/>
    <w:basedOn w:val="DefaultParagraphFont"/>
    <w:link w:val="Heading3"/>
    <w:uiPriority w:val="9"/>
    <w:rsid w:val="00D24E44"/>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5697">
      <w:bodyDiv w:val="1"/>
      <w:marLeft w:val="0"/>
      <w:marRight w:val="0"/>
      <w:marTop w:val="0"/>
      <w:marBottom w:val="0"/>
      <w:divBdr>
        <w:top w:val="none" w:sz="0" w:space="0" w:color="auto"/>
        <w:left w:val="none" w:sz="0" w:space="0" w:color="auto"/>
        <w:bottom w:val="none" w:sz="0" w:space="0" w:color="auto"/>
        <w:right w:val="none" w:sz="0" w:space="0" w:color="auto"/>
      </w:divBdr>
    </w:div>
    <w:div w:id="109983089">
      <w:bodyDiv w:val="1"/>
      <w:marLeft w:val="0"/>
      <w:marRight w:val="0"/>
      <w:marTop w:val="0"/>
      <w:marBottom w:val="0"/>
      <w:divBdr>
        <w:top w:val="none" w:sz="0" w:space="0" w:color="auto"/>
        <w:left w:val="none" w:sz="0" w:space="0" w:color="auto"/>
        <w:bottom w:val="none" w:sz="0" w:space="0" w:color="auto"/>
        <w:right w:val="none" w:sz="0" w:space="0" w:color="auto"/>
      </w:divBdr>
    </w:div>
    <w:div w:id="243420881">
      <w:bodyDiv w:val="1"/>
      <w:marLeft w:val="0"/>
      <w:marRight w:val="0"/>
      <w:marTop w:val="0"/>
      <w:marBottom w:val="0"/>
      <w:divBdr>
        <w:top w:val="none" w:sz="0" w:space="0" w:color="auto"/>
        <w:left w:val="none" w:sz="0" w:space="0" w:color="auto"/>
        <w:bottom w:val="none" w:sz="0" w:space="0" w:color="auto"/>
        <w:right w:val="none" w:sz="0" w:space="0" w:color="auto"/>
      </w:divBdr>
    </w:div>
    <w:div w:id="243804867">
      <w:bodyDiv w:val="1"/>
      <w:marLeft w:val="0"/>
      <w:marRight w:val="0"/>
      <w:marTop w:val="0"/>
      <w:marBottom w:val="0"/>
      <w:divBdr>
        <w:top w:val="none" w:sz="0" w:space="0" w:color="auto"/>
        <w:left w:val="none" w:sz="0" w:space="0" w:color="auto"/>
        <w:bottom w:val="none" w:sz="0" w:space="0" w:color="auto"/>
        <w:right w:val="none" w:sz="0" w:space="0" w:color="auto"/>
      </w:divBdr>
    </w:div>
    <w:div w:id="443815664">
      <w:bodyDiv w:val="1"/>
      <w:marLeft w:val="0"/>
      <w:marRight w:val="0"/>
      <w:marTop w:val="0"/>
      <w:marBottom w:val="0"/>
      <w:divBdr>
        <w:top w:val="none" w:sz="0" w:space="0" w:color="auto"/>
        <w:left w:val="none" w:sz="0" w:space="0" w:color="auto"/>
        <w:bottom w:val="none" w:sz="0" w:space="0" w:color="auto"/>
        <w:right w:val="none" w:sz="0" w:space="0" w:color="auto"/>
      </w:divBdr>
    </w:div>
    <w:div w:id="723992367">
      <w:bodyDiv w:val="1"/>
      <w:marLeft w:val="0"/>
      <w:marRight w:val="0"/>
      <w:marTop w:val="0"/>
      <w:marBottom w:val="0"/>
      <w:divBdr>
        <w:top w:val="none" w:sz="0" w:space="0" w:color="auto"/>
        <w:left w:val="none" w:sz="0" w:space="0" w:color="auto"/>
        <w:bottom w:val="none" w:sz="0" w:space="0" w:color="auto"/>
        <w:right w:val="none" w:sz="0" w:space="0" w:color="auto"/>
      </w:divBdr>
    </w:div>
    <w:div w:id="957834556">
      <w:bodyDiv w:val="1"/>
      <w:marLeft w:val="0"/>
      <w:marRight w:val="0"/>
      <w:marTop w:val="0"/>
      <w:marBottom w:val="0"/>
      <w:divBdr>
        <w:top w:val="none" w:sz="0" w:space="0" w:color="auto"/>
        <w:left w:val="none" w:sz="0" w:space="0" w:color="auto"/>
        <w:bottom w:val="none" w:sz="0" w:space="0" w:color="auto"/>
        <w:right w:val="none" w:sz="0" w:space="0" w:color="auto"/>
      </w:divBdr>
    </w:div>
    <w:div w:id="1079251987">
      <w:bodyDiv w:val="1"/>
      <w:marLeft w:val="0"/>
      <w:marRight w:val="0"/>
      <w:marTop w:val="0"/>
      <w:marBottom w:val="0"/>
      <w:divBdr>
        <w:top w:val="none" w:sz="0" w:space="0" w:color="auto"/>
        <w:left w:val="none" w:sz="0" w:space="0" w:color="auto"/>
        <w:bottom w:val="none" w:sz="0" w:space="0" w:color="auto"/>
        <w:right w:val="none" w:sz="0" w:space="0" w:color="auto"/>
      </w:divBdr>
    </w:div>
    <w:div w:id="1165820268">
      <w:bodyDiv w:val="1"/>
      <w:marLeft w:val="0"/>
      <w:marRight w:val="0"/>
      <w:marTop w:val="0"/>
      <w:marBottom w:val="0"/>
      <w:divBdr>
        <w:top w:val="none" w:sz="0" w:space="0" w:color="auto"/>
        <w:left w:val="none" w:sz="0" w:space="0" w:color="auto"/>
        <w:bottom w:val="none" w:sz="0" w:space="0" w:color="auto"/>
        <w:right w:val="none" w:sz="0" w:space="0" w:color="auto"/>
      </w:divBdr>
    </w:div>
    <w:div w:id="1180196909">
      <w:bodyDiv w:val="1"/>
      <w:marLeft w:val="0"/>
      <w:marRight w:val="0"/>
      <w:marTop w:val="0"/>
      <w:marBottom w:val="0"/>
      <w:divBdr>
        <w:top w:val="none" w:sz="0" w:space="0" w:color="auto"/>
        <w:left w:val="none" w:sz="0" w:space="0" w:color="auto"/>
        <w:bottom w:val="none" w:sz="0" w:space="0" w:color="auto"/>
        <w:right w:val="none" w:sz="0" w:space="0" w:color="auto"/>
      </w:divBdr>
    </w:div>
    <w:div w:id="1221331015">
      <w:bodyDiv w:val="1"/>
      <w:marLeft w:val="0"/>
      <w:marRight w:val="0"/>
      <w:marTop w:val="0"/>
      <w:marBottom w:val="0"/>
      <w:divBdr>
        <w:top w:val="none" w:sz="0" w:space="0" w:color="auto"/>
        <w:left w:val="none" w:sz="0" w:space="0" w:color="auto"/>
        <w:bottom w:val="none" w:sz="0" w:space="0" w:color="auto"/>
        <w:right w:val="none" w:sz="0" w:space="0" w:color="auto"/>
      </w:divBdr>
    </w:div>
    <w:div w:id="1377729941">
      <w:bodyDiv w:val="1"/>
      <w:marLeft w:val="0"/>
      <w:marRight w:val="0"/>
      <w:marTop w:val="0"/>
      <w:marBottom w:val="0"/>
      <w:divBdr>
        <w:top w:val="none" w:sz="0" w:space="0" w:color="auto"/>
        <w:left w:val="none" w:sz="0" w:space="0" w:color="auto"/>
        <w:bottom w:val="none" w:sz="0" w:space="0" w:color="auto"/>
        <w:right w:val="none" w:sz="0" w:space="0" w:color="auto"/>
      </w:divBdr>
    </w:div>
    <w:div w:id="1734348426">
      <w:bodyDiv w:val="1"/>
      <w:marLeft w:val="0"/>
      <w:marRight w:val="0"/>
      <w:marTop w:val="0"/>
      <w:marBottom w:val="0"/>
      <w:divBdr>
        <w:top w:val="none" w:sz="0" w:space="0" w:color="auto"/>
        <w:left w:val="none" w:sz="0" w:space="0" w:color="auto"/>
        <w:bottom w:val="none" w:sz="0" w:space="0" w:color="auto"/>
        <w:right w:val="none" w:sz="0" w:space="0" w:color="auto"/>
      </w:divBdr>
    </w:div>
    <w:div w:id="1906647669">
      <w:bodyDiv w:val="1"/>
      <w:marLeft w:val="0"/>
      <w:marRight w:val="0"/>
      <w:marTop w:val="0"/>
      <w:marBottom w:val="0"/>
      <w:divBdr>
        <w:top w:val="none" w:sz="0" w:space="0" w:color="auto"/>
        <w:left w:val="none" w:sz="0" w:space="0" w:color="auto"/>
        <w:bottom w:val="none" w:sz="0" w:space="0" w:color="auto"/>
        <w:right w:val="none" w:sz="0" w:space="0" w:color="auto"/>
      </w:divBdr>
    </w:div>
    <w:div w:id="1940747140">
      <w:bodyDiv w:val="1"/>
      <w:marLeft w:val="0"/>
      <w:marRight w:val="0"/>
      <w:marTop w:val="0"/>
      <w:marBottom w:val="0"/>
      <w:divBdr>
        <w:top w:val="none" w:sz="0" w:space="0" w:color="auto"/>
        <w:left w:val="none" w:sz="0" w:space="0" w:color="auto"/>
        <w:bottom w:val="none" w:sz="0" w:space="0" w:color="auto"/>
        <w:right w:val="none" w:sz="0" w:space="0" w:color="auto"/>
      </w:divBdr>
    </w:div>
    <w:div w:id="1976912867">
      <w:bodyDiv w:val="1"/>
      <w:marLeft w:val="0"/>
      <w:marRight w:val="0"/>
      <w:marTop w:val="0"/>
      <w:marBottom w:val="0"/>
      <w:divBdr>
        <w:top w:val="none" w:sz="0" w:space="0" w:color="auto"/>
        <w:left w:val="none" w:sz="0" w:space="0" w:color="auto"/>
        <w:bottom w:val="none" w:sz="0" w:space="0" w:color="auto"/>
        <w:right w:val="none" w:sz="0" w:space="0" w:color="auto"/>
      </w:divBdr>
    </w:div>
    <w:div w:id="1988121278">
      <w:bodyDiv w:val="1"/>
      <w:marLeft w:val="0"/>
      <w:marRight w:val="0"/>
      <w:marTop w:val="0"/>
      <w:marBottom w:val="0"/>
      <w:divBdr>
        <w:top w:val="none" w:sz="0" w:space="0" w:color="auto"/>
        <w:left w:val="none" w:sz="0" w:space="0" w:color="auto"/>
        <w:bottom w:val="none" w:sz="0" w:space="0" w:color="auto"/>
        <w:right w:val="none" w:sz="0" w:space="0" w:color="auto"/>
      </w:divBdr>
    </w:div>
    <w:div w:id="1995379087">
      <w:bodyDiv w:val="1"/>
      <w:marLeft w:val="0"/>
      <w:marRight w:val="0"/>
      <w:marTop w:val="0"/>
      <w:marBottom w:val="0"/>
      <w:divBdr>
        <w:top w:val="none" w:sz="0" w:space="0" w:color="auto"/>
        <w:left w:val="none" w:sz="0" w:space="0" w:color="auto"/>
        <w:bottom w:val="none" w:sz="0" w:space="0" w:color="auto"/>
        <w:right w:val="none" w:sz="0" w:space="0" w:color="auto"/>
      </w:divBdr>
    </w:div>
    <w:div w:id="2057926339">
      <w:bodyDiv w:val="1"/>
      <w:marLeft w:val="0"/>
      <w:marRight w:val="0"/>
      <w:marTop w:val="0"/>
      <w:marBottom w:val="0"/>
      <w:divBdr>
        <w:top w:val="none" w:sz="0" w:space="0" w:color="auto"/>
        <w:left w:val="none" w:sz="0" w:space="0" w:color="auto"/>
        <w:bottom w:val="none" w:sz="0" w:space="0" w:color="auto"/>
        <w:right w:val="none" w:sz="0" w:space="0" w:color="auto"/>
      </w:divBdr>
    </w:div>
    <w:div w:id="2086027407">
      <w:bodyDiv w:val="1"/>
      <w:marLeft w:val="0"/>
      <w:marRight w:val="0"/>
      <w:marTop w:val="0"/>
      <w:marBottom w:val="0"/>
      <w:divBdr>
        <w:top w:val="none" w:sz="0" w:space="0" w:color="auto"/>
        <w:left w:val="none" w:sz="0" w:space="0" w:color="auto"/>
        <w:bottom w:val="none" w:sz="0" w:space="0" w:color="auto"/>
        <w:right w:val="none" w:sz="0" w:space="0" w:color="auto"/>
      </w:divBdr>
    </w:div>
    <w:div w:id="2110007083">
      <w:bodyDiv w:val="1"/>
      <w:marLeft w:val="0"/>
      <w:marRight w:val="0"/>
      <w:marTop w:val="0"/>
      <w:marBottom w:val="0"/>
      <w:divBdr>
        <w:top w:val="none" w:sz="0" w:space="0" w:color="auto"/>
        <w:left w:val="none" w:sz="0" w:space="0" w:color="auto"/>
        <w:bottom w:val="none" w:sz="0" w:space="0" w:color="auto"/>
        <w:right w:val="none" w:sz="0" w:space="0" w:color="auto"/>
      </w:divBdr>
    </w:div>
    <w:div w:id="213689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enpol.2007.04.0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doi.org/10.20961/cmes.11.2.26996" TargetMode="External"/><Relationship Id="rId2" Type="http://schemas.openxmlformats.org/officeDocument/2006/relationships/numbering" Target="numbering.xml"/><Relationship Id="rId16" Type="http://schemas.openxmlformats.org/officeDocument/2006/relationships/hyperlink" Target="https://doi.org/10.1017/CBO9781107415324.0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Eprints.Undip.Ac.Id/43107/" TargetMode="Externa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Eprints.Undip.Ac.Id/38984/"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a:t> </a:t>
            </a:r>
          </a:p>
        </c:rich>
      </c:tx>
      <c:overlay val="0"/>
    </c:title>
    <c:autoTitleDeleted val="0"/>
    <c:plotArea>
      <c:layout/>
      <c:barChart>
        <c:barDir val="col"/>
        <c:grouping val="clustered"/>
        <c:varyColors val="0"/>
        <c:ser>
          <c:idx val="0"/>
          <c:order val="0"/>
          <c:tx>
            <c:strRef>
              <c:f>Sheet1!$B$109</c:f>
              <c:strCache>
                <c:ptCount val="1"/>
                <c:pt idx="0">
                  <c:v>Year</c:v>
                </c:pt>
              </c:strCache>
            </c:strRef>
          </c:tx>
          <c:invertIfNegative val="0"/>
          <c:dPt>
            <c:idx val="5"/>
            <c:invertIfNegative val="0"/>
            <c:bubble3D val="0"/>
            <c:spPr>
              <a:ln cap="sq"/>
              <a:effectLst>
                <a:outerShdw blurRad="50800" dist="50800" dir="5400000" algn="ctr" rotWithShape="0">
                  <a:schemeClr val="tx1"/>
                </a:outerShdw>
              </a:effectLst>
            </c:spPr>
          </c:dPt>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Sheet1!$C$109:$H$109</c:f>
              <c:numCache>
                <c:formatCode>General</c:formatCode>
                <c:ptCount val="6"/>
                <c:pt idx="0">
                  <c:v>2013</c:v>
                </c:pt>
                <c:pt idx="1">
                  <c:v>2014</c:v>
                </c:pt>
                <c:pt idx="2">
                  <c:v>2015</c:v>
                </c:pt>
                <c:pt idx="3">
                  <c:v>2016</c:v>
                </c:pt>
                <c:pt idx="4">
                  <c:v>2017</c:v>
                </c:pt>
                <c:pt idx="5">
                  <c:v>2018</c:v>
                </c:pt>
              </c:numCache>
            </c:numRef>
          </c:val>
          <c:extLst xmlns:c16r2="http://schemas.microsoft.com/office/drawing/2015/06/chart">
            <c:ext xmlns:c16="http://schemas.microsoft.com/office/drawing/2014/chart" uri="{C3380CC4-5D6E-409C-BE32-E72D297353CC}">
              <c16:uniqueId val="{00000000-FD2A-4489-9DF4-E302A965C217}"/>
            </c:ext>
          </c:extLst>
        </c:ser>
        <c:ser>
          <c:idx val="1"/>
          <c:order val="1"/>
          <c:tx>
            <c:strRef>
              <c:f>Sheet1!$B$110</c:f>
              <c:strCache>
                <c:ptCount val="1"/>
                <c:pt idx="0">
                  <c:v>PDRB</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val>
            <c:numRef>
              <c:f>Sheet1!$C$110:$H$110</c:f>
              <c:numCache>
                <c:formatCode>General</c:formatCode>
                <c:ptCount val="6"/>
                <c:pt idx="0">
                  <c:v>5.41</c:v>
                </c:pt>
                <c:pt idx="1">
                  <c:v>5.05</c:v>
                </c:pt>
                <c:pt idx="2">
                  <c:v>4.92</c:v>
                </c:pt>
                <c:pt idx="3">
                  <c:v>5.12</c:v>
                </c:pt>
                <c:pt idx="4">
                  <c:v>5.1100000000000003</c:v>
                </c:pt>
                <c:pt idx="5">
                  <c:v>5.13</c:v>
                </c:pt>
              </c:numCache>
            </c:numRef>
          </c:val>
          <c:extLst xmlns:c16r2="http://schemas.microsoft.com/office/drawing/2015/06/chart">
            <c:ext xmlns:c16="http://schemas.microsoft.com/office/drawing/2014/chart" uri="{C3380CC4-5D6E-409C-BE32-E72D297353CC}">
              <c16:uniqueId val="{00000001-FD2A-4489-9DF4-E302A965C217}"/>
            </c:ext>
          </c:extLst>
        </c:ser>
        <c:dLbls>
          <c:showLegendKey val="0"/>
          <c:showVal val="1"/>
          <c:showCatName val="0"/>
          <c:showSerName val="0"/>
          <c:showPercent val="0"/>
          <c:showBubbleSize val="0"/>
        </c:dLbls>
        <c:gapWidth val="150"/>
        <c:overlap val="-25"/>
        <c:axId val="101602048"/>
        <c:axId val="101603584"/>
      </c:barChart>
      <c:catAx>
        <c:axId val="101602048"/>
        <c:scaling>
          <c:orientation val="minMax"/>
        </c:scaling>
        <c:delete val="0"/>
        <c:axPos val="b"/>
        <c:majorTickMark val="none"/>
        <c:minorTickMark val="none"/>
        <c:tickLblPos val="nextTo"/>
        <c:crossAx val="101603584"/>
        <c:crosses val="autoZero"/>
        <c:auto val="1"/>
        <c:lblAlgn val="ctr"/>
        <c:lblOffset val="100"/>
        <c:noMultiLvlLbl val="0"/>
      </c:catAx>
      <c:valAx>
        <c:axId val="101603584"/>
        <c:scaling>
          <c:orientation val="minMax"/>
        </c:scaling>
        <c:delete val="1"/>
        <c:axPos val="l"/>
        <c:numFmt formatCode="General" sourceLinked="1"/>
        <c:majorTickMark val="none"/>
        <c:minorTickMark val="none"/>
        <c:tickLblPos val="nextTo"/>
        <c:crossAx val="101602048"/>
        <c:crosses val="autoZero"/>
        <c:crossBetween val="between"/>
      </c:valAx>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invertIfNegative val="0"/>
          <c:val>
            <c:numRef>
              <c:f>Sheet2!$A$2:$A$9</c:f>
              <c:numCache>
                <c:formatCode>General</c:formatCode>
                <c:ptCount val="8"/>
                <c:pt idx="0">
                  <c:v>2011</c:v>
                </c:pt>
                <c:pt idx="1">
                  <c:v>2012</c:v>
                </c:pt>
                <c:pt idx="2">
                  <c:v>2013</c:v>
                </c:pt>
                <c:pt idx="3">
                  <c:v>2014</c:v>
                </c:pt>
                <c:pt idx="4">
                  <c:v>2015</c:v>
                </c:pt>
                <c:pt idx="5">
                  <c:v>2016</c:v>
                </c:pt>
                <c:pt idx="6">
                  <c:v>2017</c:v>
                </c:pt>
                <c:pt idx="7">
                  <c:v>2018</c:v>
                </c:pt>
              </c:numCache>
            </c:numRef>
          </c:val>
        </c:ser>
        <c:ser>
          <c:idx val="1"/>
          <c:order val="1"/>
          <c:invertIfNegative val="0"/>
          <c:dLbls>
            <c:spPr>
              <a:solidFill>
                <a:schemeClr val="bg1"/>
              </a:solidFill>
            </c:spPr>
            <c:txPr>
              <a:bodyPr/>
              <a:lstStyle/>
              <a:p>
                <a:pPr>
                  <a:defRPr>
                    <a:solidFill>
                      <a:sysClr val="windowText" lastClr="000000"/>
                    </a:solidFill>
                  </a:defRPr>
                </a:pPr>
                <a:endParaRPr lang="id-ID"/>
              </a:p>
            </c:txPr>
            <c:showLegendKey val="0"/>
            <c:showVal val="1"/>
            <c:showCatName val="0"/>
            <c:showSerName val="0"/>
            <c:showPercent val="0"/>
            <c:showBubbleSize val="0"/>
            <c:showLeaderLines val="0"/>
          </c:dLbls>
          <c:val>
            <c:numRef>
              <c:f>Sheet2!$B$2:$B$9</c:f>
              <c:numCache>
                <c:formatCode>General</c:formatCode>
                <c:ptCount val="8"/>
                <c:pt idx="0">
                  <c:v>5.67</c:v>
                </c:pt>
                <c:pt idx="1">
                  <c:v>5.46</c:v>
                </c:pt>
                <c:pt idx="2">
                  <c:v>5.41</c:v>
                </c:pt>
                <c:pt idx="3">
                  <c:v>5.05</c:v>
                </c:pt>
                <c:pt idx="4">
                  <c:v>4.92</c:v>
                </c:pt>
                <c:pt idx="5">
                  <c:v>5.18</c:v>
                </c:pt>
                <c:pt idx="6">
                  <c:v>5.16</c:v>
                </c:pt>
                <c:pt idx="7">
                  <c:v>5.13</c:v>
                </c:pt>
              </c:numCache>
            </c:numRef>
          </c:val>
        </c:ser>
        <c:ser>
          <c:idx val="2"/>
          <c:order val="2"/>
          <c:invertIfNegative val="0"/>
          <c:val>
            <c:numRef>
              <c:f>Sheet2!$C$2:$C$9</c:f>
              <c:numCache>
                <c:formatCode>General</c:formatCode>
                <c:ptCount val="8"/>
              </c:numCache>
            </c:numRef>
          </c:val>
        </c:ser>
        <c:dLbls>
          <c:showLegendKey val="0"/>
          <c:showVal val="1"/>
          <c:showCatName val="0"/>
          <c:showSerName val="0"/>
          <c:showPercent val="0"/>
          <c:showBubbleSize val="0"/>
        </c:dLbls>
        <c:gapWidth val="75"/>
        <c:axId val="101987840"/>
        <c:axId val="101989376"/>
      </c:barChart>
      <c:catAx>
        <c:axId val="101987840"/>
        <c:scaling>
          <c:orientation val="minMax"/>
        </c:scaling>
        <c:delete val="0"/>
        <c:axPos val="b"/>
        <c:majorTickMark val="none"/>
        <c:minorTickMark val="none"/>
        <c:tickLblPos val="nextTo"/>
        <c:crossAx val="101989376"/>
        <c:crosses val="autoZero"/>
        <c:auto val="1"/>
        <c:lblAlgn val="ctr"/>
        <c:lblOffset val="100"/>
        <c:noMultiLvlLbl val="0"/>
      </c:catAx>
      <c:valAx>
        <c:axId val="101989376"/>
        <c:scaling>
          <c:orientation val="minMax"/>
        </c:scaling>
        <c:delete val="0"/>
        <c:axPos val="l"/>
        <c:numFmt formatCode="General" sourceLinked="1"/>
        <c:majorTickMark val="none"/>
        <c:minorTickMark val="none"/>
        <c:tickLblPos val="nextTo"/>
        <c:crossAx val="10198784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title>
    <c:autoTitleDeleted val="0"/>
    <c:plotArea>
      <c:layout/>
      <c:lineChart>
        <c:grouping val="standard"/>
        <c:varyColors val="0"/>
        <c:ser>
          <c:idx val="0"/>
          <c:order val="0"/>
          <c:tx>
            <c:strRef>
              <c:f>Sheet1!$C$148</c:f>
              <c:strCache>
                <c:ptCount val="1"/>
                <c:pt idx="0">
                  <c:v>IW</c:v>
                </c:pt>
              </c:strCache>
            </c:strRef>
          </c:tx>
          <c:dLbls>
            <c:showLegendKey val="0"/>
            <c:showVal val="1"/>
            <c:showCatName val="0"/>
            <c:showSerName val="0"/>
            <c:showPercent val="0"/>
            <c:showBubbleSize val="0"/>
            <c:showLeaderLines val="0"/>
          </c:dLbls>
          <c:cat>
            <c:strRef>
              <c:f>Sheet1!$B$149:$B$171</c:f>
              <c:strCache>
                <c:ptCount val="23"/>
                <c:pt idx="0">
                  <c:v>Sumba  Barat</c:v>
                </c:pt>
                <c:pt idx="1">
                  <c:v>Sumba Timur</c:v>
                </c:pt>
                <c:pt idx="2">
                  <c:v>Kupang</c:v>
                </c:pt>
                <c:pt idx="3">
                  <c:v>Timor Tengah Selatan</c:v>
                </c:pt>
                <c:pt idx="4">
                  <c:v>Timor   Tengah  Utara</c:v>
                </c:pt>
                <c:pt idx="5">
                  <c:v>Belu</c:v>
                </c:pt>
                <c:pt idx="6">
                  <c:v>A;lor</c:v>
                </c:pt>
                <c:pt idx="7">
                  <c:v>Lembata</c:v>
                </c:pt>
                <c:pt idx="8">
                  <c:v>Flores Timur</c:v>
                </c:pt>
                <c:pt idx="9">
                  <c:v>Sikka</c:v>
                </c:pt>
                <c:pt idx="10">
                  <c:v>Ende</c:v>
                </c:pt>
                <c:pt idx="11">
                  <c:v>Ngada</c:v>
                </c:pt>
                <c:pt idx="12">
                  <c:v>Manggarai</c:v>
                </c:pt>
                <c:pt idx="13">
                  <c:v>Rote Ndao</c:v>
                </c:pt>
                <c:pt idx="14">
                  <c:v>Manggarai  Barat</c:v>
                </c:pt>
                <c:pt idx="15">
                  <c:v>Sumba Tengah</c:v>
                </c:pt>
                <c:pt idx="16">
                  <c:v>Sumba  barat daya</c:v>
                </c:pt>
                <c:pt idx="17">
                  <c:v>Nagekeo</c:v>
                </c:pt>
                <c:pt idx="18">
                  <c:v>Manggarai  Timur</c:v>
                </c:pt>
                <c:pt idx="19">
                  <c:v>Sabu Raijua</c:v>
                </c:pt>
                <c:pt idx="20">
                  <c:v>Malaka</c:v>
                </c:pt>
                <c:pt idx="21">
                  <c:v>Kota  Kupang</c:v>
                </c:pt>
                <c:pt idx="22">
                  <c:v>Rata2  </c:v>
                </c:pt>
              </c:strCache>
            </c:strRef>
          </c:cat>
          <c:val>
            <c:numRef>
              <c:f>Sheet1!$C$149:$C$171</c:f>
              <c:numCache>
                <c:formatCode>_(* #,##0.00_);_(* \(#,##0.00\);_(* "-"_);_(@_)</c:formatCode>
                <c:ptCount val="23"/>
                <c:pt idx="0">
                  <c:v>0.03</c:v>
                </c:pt>
                <c:pt idx="1">
                  <c:v>0.15</c:v>
                </c:pt>
                <c:pt idx="2">
                  <c:v>0.06</c:v>
                </c:pt>
                <c:pt idx="3">
                  <c:v>0.14000000000000001</c:v>
                </c:pt>
                <c:pt idx="4">
                  <c:v>0.04</c:v>
                </c:pt>
                <c:pt idx="5">
                  <c:v>0.05</c:v>
                </c:pt>
                <c:pt idx="6">
                  <c:v>0.11</c:v>
                </c:pt>
                <c:pt idx="7">
                  <c:v>0.12</c:v>
                </c:pt>
                <c:pt idx="8">
                  <c:v>7.0000000000000007E-2</c:v>
                </c:pt>
                <c:pt idx="9">
                  <c:v>0.11</c:v>
                </c:pt>
                <c:pt idx="10">
                  <c:v>0.11</c:v>
                </c:pt>
                <c:pt idx="11">
                  <c:v>7.0000000000000007E-2</c:v>
                </c:pt>
                <c:pt idx="12">
                  <c:v>0.16</c:v>
                </c:pt>
                <c:pt idx="13">
                  <c:v>0.02</c:v>
                </c:pt>
                <c:pt idx="14">
                  <c:v>0.16</c:v>
                </c:pt>
                <c:pt idx="15">
                  <c:v>0.04</c:v>
                </c:pt>
                <c:pt idx="16">
                  <c:v>0.27</c:v>
                </c:pt>
                <c:pt idx="17">
                  <c:v>0.09</c:v>
                </c:pt>
                <c:pt idx="18">
                  <c:v>0.25</c:v>
                </c:pt>
                <c:pt idx="19">
                  <c:v>0.04</c:v>
                </c:pt>
                <c:pt idx="20">
                  <c:v>0.09</c:v>
                </c:pt>
                <c:pt idx="21">
                  <c:v>1.49</c:v>
                </c:pt>
                <c:pt idx="22">
                  <c:v>0.16681818181818181</c:v>
                </c:pt>
              </c:numCache>
            </c:numRef>
          </c:val>
          <c:smooth val="0"/>
        </c:ser>
        <c:dLbls>
          <c:showLegendKey val="0"/>
          <c:showVal val="0"/>
          <c:showCatName val="0"/>
          <c:showSerName val="0"/>
          <c:showPercent val="0"/>
          <c:showBubbleSize val="0"/>
        </c:dLbls>
        <c:marker val="1"/>
        <c:smooth val="0"/>
        <c:axId val="101572608"/>
        <c:axId val="101574144"/>
      </c:lineChart>
      <c:catAx>
        <c:axId val="101572608"/>
        <c:scaling>
          <c:orientation val="minMax"/>
        </c:scaling>
        <c:delete val="0"/>
        <c:axPos val="b"/>
        <c:majorTickMark val="out"/>
        <c:minorTickMark val="none"/>
        <c:tickLblPos val="nextTo"/>
        <c:crossAx val="101574144"/>
        <c:crosses val="autoZero"/>
        <c:auto val="1"/>
        <c:lblAlgn val="ctr"/>
        <c:lblOffset val="100"/>
        <c:noMultiLvlLbl val="0"/>
      </c:catAx>
      <c:valAx>
        <c:axId val="101574144"/>
        <c:scaling>
          <c:orientation val="minMax"/>
        </c:scaling>
        <c:delete val="0"/>
        <c:axPos val="l"/>
        <c:majorGridlines/>
        <c:numFmt formatCode="_(* #,##0.00_);_(* \(#,##0.00\);_(* &quot;-&quot;_);_(@_)" sourceLinked="1"/>
        <c:majorTickMark val="out"/>
        <c:minorTickMark val="none"/>
        <c:tickLblPos val="nextTo"/>
        <c:crossAx val="10157260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Sheet1!$D$199</c:f>
              <c:strCache>
                <c:ptCount val="1"/>
                <c:pt idx="0">
                  <c:v>IT-intra</c:v>
                </c:pt>
              </c:strCache>
            </c:strRef>
          </c:tx>
          <c:cat>
            <c:strRef>
              <c:f>Sheet1!$C$200:$C$222</c:f>
              <c:strCache>
                <c:ptCount val="23"/>
                <c:pt idx="0">
                  <c:v>Sumba  Barat</c:v>
                </c:pt>
                <c:pt idx="1">
                  <c:v>Sumba Timur</c:v>
                </c:pt>
                <c:pt idx="2">
                  <c:v>Kupang</c:v>
                </c:pt>
                <c:pt idx="3">
                  <c:v>Timor Tengah Selatan</c:v>
                </c:pt>
                <c:pt idx="4">
                  <c:v>Timor   Tengah  Utara</c:v>
                </c:pt>
                <c:pt idx="5">
                  <c:v>Belu</c:v>
                </c:pt>
                <c:pt idx="6">
                  <c:v>A;lor</c:v>
                </c:pt>
                <c:pt idx="7">
                  <c:v>Lembata</c:v>
                </c:pt>
                <c:pt idx="8">
                  <c:v>Flores Timur</c:v>
                </c:pt>
                <c:pt idx="9">
                  <c:v>Sikka</c:v>
                </c:pt>
                <c:pt idx="10">
                  <c:v>Ende</c:v>
                </c:pt>
                <c:pt idx="11">
                  <c:v>Ngada</c:v>
                </c:pt>
                <c:pt idx="12">
                  <c:v>Manggarai</c:v>
                </c:pt>
                <c:pt idx="13">
                  <c:v>Rote Ndao</c:v>
                </c:pt>
                <c:pt idx="14">
                  <c:v>Manggarai  Barat</c:v>
                </c:pt>
                <c:pt idx="15">
                  <c:v>Sumba Tengah</c:v>
                </c:pt>
                <c:pt idx="16">
                  <c:v>Sumba  barat daya</c:v>
                </c:pt>
                <c:pt idx="17">
                  <c:v>Nagekeo</c:v>
                </c:pt>
                <c:pt idx="18">
                  <c:v>Manggarai  Timur</c:v>
                </c:pt>
                <c:pt idx="19">
                  <c:v>Sabu Raijua</c:v>
                </c:pt>
                <c:pt idx="20">
                  <c:v>Malaka</c:v>
                </c:pt>
                <c:pt idx="21">
                  <c:v>Kota  Kupang</c:v>
                </c:pt>
                <c:pt idx="22">
                  <c:v>Propinsi NTT</c:v>
                </c:pt>
              </c:strCache>
            </c:strRef>
          </c:cat>
          <c:val>
            <c:numRef>
              <c:f>Sheet1!$D$200:$D$222</c:f>
              <c:numCache>
                <c:formatCode>_(* #,##0.00_);_(* \(#,##0.00\);_(* "-"_);_(@_)</c:formatCode>
                <c:ptCount val="23"/>
                <c:pt idx="0">
                  <c:v>1.7847203446752118</c:v>
                </c:pt>
                <c:pt idx="1">
                  <c:v>2.2464090417718992</c:v>
                </c:pt>
                <c:pt idx="2">
                  <c:v>2.3200213570343204</c:v>
                </c:pt>
                <c:pt idx="3">
                  <c:v>2.2984467991959288</c:v>
                </c:pt>
                <c:pt idx="4">
                  <c:v>2.0896543545231201</c:v>
                </c:pt>
                <c:pt idx="5">
                  <c:v>2.1001077353191686</c:v>
                </c:pt>
                <c:pt idx="6">
                  <c:v>1.9177818249887246</c:v>
                </c:pt>
                <c:pt idx="7">
                  <c:v>1.6739475907901156</c:v>
                </c:pt>
                <c:pt idx="8">
                  <c:v>2.1885934246221157</c:v>
                </c:pt>
                <c:pt idx="9">
                  <c:v>2.1407737104780971</c:v>
                </c:pt>
                <c:pt idx="10">
                  <c:v>2.2588500000387897</c:v>
                </c:pt>
                <c:pt idx="11">
                  <c:v>2.0039290692217024</c:v>
                </c:pt>
                <c:pt idx="12">
                  <c:v>2.0906953576223057</c:v>
                </c:pt>
                <c:pt idx="13">
                  <c:v>1.9121483165286268</c:v>
                </c:pt>
                <c:pt idx="14">
                  <c:v>1.9564355442402592</c:v>
                </c:pt>
                <c:pt idx="15">
                  <c:v>1.4981629575744297</c:v>
                </c:pt>
                <c:pt idx="16">
                  <c:v>1.9551341997341061</c:v>
                </c:pt>
                <c:pt idx="17">
                  <c:v>1.7579139523777718</c:v>
                </c:pt>
                <c:pt idx="18">
                  <c:v>1.9014390879807042</c:v>
                </c:pt>
                <c:pt idx="19">
                  <c:v>1.5059588277669398</c:v>
                </c:pt>
                <c:pt idx="20">
                  <c:v>1.8872937330663033</c:v>
                </c:pt>
                <c:pt idx="21">
                  <c:v>2.9005273322849896</c:v>
                </c:pt>
                <c:pt idx="22">
                  <c:v>44.388944561835622</c:v>
                </c:pt>
              </c:numCache>
            </c:numRef>
          </c:val>
          <c:smooth val="0"/>
        </c:ser>
        <c:ser>
          <c:idx val="1"/>
          <c:order val="1"/>
          <c:tx>
            <c:strRef>
              <c:f>Sheet1!$E$199</c:f>
              <c:strCache>
                <c:ptCount val="1"/>
                <c:pt idx="0">
                  <c:v>IT-Entro</c:v>
                </c:pt>
              </c:strCache>
            </c:strRef>
          </c:tx>
          <c:cat>
            <c:strRef>
              <c:f>Sheet1!$C$200:$C$222</c:f>
              <c:strCache>
                <c:ptCount val="23"/>
                <c:pt idx="0">
                  <c:v>Sumba  Barat</c:v>
                </c:pt>
                <c:pt idx="1">
                  <c:v>Sumba Timur</c:v>
                </c:pt>
                <c:pt idx="2">
                  <c:v>Kupang</c:v>
                </c:pt>
                <c:pt idx="3">
                  <c:v>Timor Tengah Selatan</c:v>
                </c:pt>
                <c:pt idx="4">
                  <c:v>Timor   Tengah  Utara</c:v>
                </c:pt>
                <c:pt idx="5">
                  <c:v>Belu</c:v>
                </c:pt>
                <c:pt idx="6">
                  <c:v>A;lor</c:v>
                </c:pt>
                <c:pt idx="7">
                  <c:v>Lembata</c:v>
                </c:pt>
                <c:pt idx="8">
                  <c:v>Flores Timur</c:v>
                </c:pt>
                <c:pt idx="9">
                  <c:v>Sikka</c:v>
                </c:pt>
                <c:pt idx="10">
                  <c:v>Ende</c:v>
                </c:pt>
                <c:pt idx="11">
                  <c:v>Ngada</c:v>
                </c:pt>
                <c:pt idx="12">
                  <c:v>Manggarai</c:v>
                </c:pt>
                <c:pt idx="13">
                  <c:v>Rote Ndao</c:v>
                </c:pt>
                <c:pt idx="14">
                  <c:v>Manggarai  Barat</c:v>
                </c:pt>
                <c:pt idx="15">
                  <c:v>Sumba Tengah</c:v>
                </c:pt>
                <c:pt idx="16">
                  <c:v>Sumba  barat daya</c:v>
                </c:pt>
                <c:pt idx="17">
                  <c:v>Nagekeo</c:v>
                </c:pt>
                <c:pt idx="18">
                  <c:v>Manggarai  Timur</c:v>
                </c:pt>
                <c:pt idx="19">
                  <c:v>Sabu Raijua</c:v>
                </c:pt>
                <c:pt idx="20">
                  <c:v>Malaka</c:v>
                </c:pt>
                <c:pt idx="21">
                  <c:v>Kota  Kupang</c:v>
                </c:pt>
                <c:pt idx="22">
                  <c:v>Propinsi NTT</c:v>
                </c:pt>
              </c:strCache>
            </c:strRef>
          </c:cat>
          <c:val>
            <c:numRef>
              <c:f>Sheet1!$E$200:$E$222</c:f>
              <c:numCache>
                <c:formatCode>General</c:formatCode>
                <c:ptCount val="23"/>
                <c:pt idx="0">
                  <c:v>62.7</c:v>
                </c:pt>
                <c:pt idx="1">
                  <c:v>178.61</c:v>
                </c:pt>
                <c:pt idx="2">
                  <c:v>211.26</c:v>
                </c:pt>
                <c:pt idx="3">
                  <c:v>201.11</c:v>
                </c:pt>
                <c:pt idx="4">
                  <c:v>125.02</c:v>
                </c:pt>
                <c:pt idx="5">
                  <c:v>128.02000000000001</c:v>
                </c:pt>
                <c:pt idx="6">
                  <c:v>84.67</c:v>
                </c:pt>
                <c:pt idx="7">
                  <c:v>48.87</c:v>
                </c:pt>
                <c:pt idx="8">
                  <c:v>156.57</c:v>
                </c:pt>
                <c:pt idx="9">
                  <c:v>140.43</c:v>
                </c:pt>
                <c:pt idx="10">
                  <c:v>183.75</c:v>
                </c:pt>
                <c:pt idx="11">
                  <c:v>102.91</c:v>
                </c:pt>
                <c:pt idx="12">
                  <c:v>125.31</c:v>
                </c:pt>
                <c:pt idx="13">
                  <c:v>83.6</c:v>
                </c:pt>
                <c:pt idx="14">
                  <c:v>92.41</c:v>
                </c:pt>
                <c:pt idx="15">
                  <c:v>32.99</c:v>
                </c:pt>
                <c:pt idx="16">
                  <c:v>92.14</c:v>
                </c:pt>
                <c:pt idx="17">
                  <c:v>59.03</c:v>
                </c:pt>
                <c:pt idx="18">
                  <c:v>81.599999999999994</c:v>
                </c:pt>
                <c:pt idx="19">
                  <c:v>33.57</c:v>
                </c:pt>
                <c:pt idx="20">
                  <c:v>79.03</c:v>
                </c:pt>
                <c:pt idx="21">
                  <c:v>798.19</c:v>
                </c:pt>
                <c:pt idx="22">
                  <c:v>140.99045454545455</c:v>
                </c:pt>
              </c:numCache>
            </c:numRef>
          </c:val>
          <c:smooth val="0"/>
        </c:ser>
        <c:dLbls>
          <c:showLegendKey val="0"/>
          <c:showVal val="0"/>
          <c:showCatName val="0"/>
          <c:showSerName val="0"/>
          <c:showPercent val="0"/>
          <c:showBubbleSize val="0"/>
        </c:dLbls>
        <c:marker val="1"/>
        <c:smooth val="0"/>
        <c:axId val="102016128"/>
        <c:axId val="102017664"/>
      </c:lineChart>
      <c:catAx>
        <c:axId val="102016128"/>
        <c:scaling>
          <c:orientation val="minMax"/>
        </c:scaling>
        <c:delete val="0"/>
        <c:axPos val="b"/>
        <c:majorTickMark val="none"/>
        <c:minorTickMark val="none"/>
        <c:tickLblPos val="nextTo"/>
        <c:crossAx val="102017664"/>
        <c:crosses val="autoZero"/>
        <c:auto val="1"/>
        <c:lblAlgn val="ctr"/>
        <c:lblOffset val="100"/>
        <c:noMultiLvlLbl val="0"/>
      </c:catAx>
      <c:valAx>
        <c:axId val="102017664"/>
        <c:scaling>
          <c:orientation val="minMax"/>
        </c:scaling>
        <c:delete val="0"/>
        <c:axPos val="l"/>
        <c:numFmt formatCode="_(* #,##0.00_);_(* \(#,##0.00\);_(* &quot;-&quot;_);_(@_)" sourceLinked="1"/>
        <c:majorTickMark val="none"/>
        <c:minorTickMark val="none"/>
        <c:tickLblPos val="nextTo"/>
        <c:crossAx val="102016128"/>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Khu11</b:Tag>
    <b:SourceType>JournalArticle</b:SourceType>
    <b:Guid>{AF143642-8F63-4E27-809D-1E51D914B37E}</b:Guid>
    <b:Author>
      <b:Author>
        <b:NameList>
          <b:Person>
            <b:Last>Ashar</b:Last>
            <b:First>Khusnul</b:First>
          </b:Person>
        </b:NameList>
      </b:Author>
    </b:Author>
    <b:Title>Analisis Terhadap Kesinambungan Lembaga Pembiayaan Pedesaan dalam Mendukung Usaha, Mikro Kecil dan Menengah</b:Title>
    <b:JournalName>Journal of Indonesia Applied Economic</b:JournalName>
    <b:Year>2011</b:Year>
    <b:Pages>Vol.5, No.1</b:Pages>
    <b:RefOrder>14</b:RefOrder>
  </b:Source>
  <b:Source>
    <b:Tag>Jam08</b:Tag>
    <b:SourceType>Book</b:SourceType>
    <b:Guid>{A46490CE-5655-4F65-ACBA-4ADB0C749C29}</b:Guid>
    <b:Author>
      <b:Author>
        <b:NameList>
          <b:Person>
            <b:Last>Coleman</b:Last>
            <b:First>James</b:First>
            <b:Middle>S</b:Middle>
          </b:Person>
        </b:NameList>
      </b:Author>
    </b:Author>
    <b:Title>Dasar-dasar Teori Sosial</b:Title>
    <b:Year>2008</b:Year>
    <b:City>Bandung</b:City>
    <b:Publisher>Nusa Media</b:Publisher>
    <b:RefOrder>1</b:RefOrder>
  </b:Source>
  <b:Source>
    <b:Tag>Rob95</b:Tag>
    <b:SourceType>JournalArticle</b:SourceType>
    <b:Guid>{B04ABBAC-853E-4328-A227-4A45193D369D}</b:Guid>
    <b:Author>
      <b:Author>
        <b:NameList>
          <b:Person>
            <b:Last>Putnam</b:Last>
            <b:First>Robert</b:First>
          </b:Person>
        </b:NameList>
      </b:Author>
    </b:Author>
    <b:Title>Tuning In, Tuning Out: The Strange Disappearance of Social Capital in America</b:Title>
    <b:JournalName> Journal of Political Science and Politics</b:JournalName>
    <b:Year>1995</b:Year>
    <b:Pages>Vol. 28, No. 4</b:Pages>
    <b:RefOrder>15</b:RefOrder>
  </b:Source>
  <b:Source>
    <b:Tag>Smi11</b:Tag>
    <b:SourceType>Book</b:SourceType>
    <b:Guid>{D4EEACF1-D036-4676-804F-039C6D861EAD}</b:Guid>
    <b:Author>
      <b:Author>
        <b:NameList>
          <b:Person>
            <b:Last>Todaro</b:Last>
            <b:First>Michael</b:First>
            <b:Middle>P.</b:Middle>
          </b:Person>
          <b:Person>
            <b:Last>Smith</b:Last>
            <b:First>Stephen</b:First>
            <b:Middle>C.</b:Middle>
          </b:Person>
        </b:NameList>
      </b:Author>
    </b:Author>
    <b:Title>Pembangunan Ekonomi</b:Title>
    <b:Year>2011</b:Year>
    <b:City>Jakarta</b:City>
    <b:Publisher>Erlangga</b:Publisher>
    <b:RefOrder>16</b:RefOrder>
  </b:Source>
  <b:Source>
    <b:Tag>Har16</b:Tag>
    <b:SourceType>JournalArticle</b:SourceType>
    <b:Guid>{9084C779-12F6-4952-93D2-07F0F7607DC9}</b:Guid>
    <b:Author>
      <b:Author>
        <b:NameList>
          <b:Person>
            <b:Last>Harrison</b:Last>
            <b:First>Jan</b:First>
            <b:Middle>L</b:Middle>
          </b:Person>
          <b:Person>
            <b:Last>Montgomery</b:Last>
            <b:First>Claire</b:First>
            <b:Middle>A.</b:Middle>
          </b:Person>
          <b:Person>
            <b:Last>Bliss</b:Last>
            <b:First>John</b:First>
            <b:Middle>C.</b:Middle>
          </b:Person>
        </b:NameList>
      </b:Author>
    </b:Author>
    <b:Title>Beyond the Monolith: The Role of Bonding, Bridging, and Linking Social Capital in the Cycle of Adaptive Capacity</b:Title>
    <b:JournalName>Journal Society &amp; Natural Resources</b:JournalName>
    <b:Year>2016</b:Year>
    <b:Pages>Vol 29, No.5</b:Pages>
    <b:RefOrder>17</b:RefOrder>
  </b:Source>
  <b:Source>
    <b:Tag>Bab12</b:Tag>
    <b:SourceType>JournalArticle</b:SourceType>
    <b:Guid>{97D8ABD4-46B4-460D-8452-B5E6C2B3DD5B}</b:Guid>
    <b:Author>
      <b:Author>
        <b:NameList>
          <b:Person>
            <b:Last>Babaei</b:Last>
            <b:First>Hamidreza</b:First>
          </b:Person>
          <b:Person>
            <b:Last>Ahmad</b:Last>
            <b:First>Nobaya</b:First>
          </b:Person>
          <b:Person>
            <b:Last>Gill</b:Last>
            <b:First>Sarjit</b:First>
            <b:Middle>S</b:Middle>
          </b:Person>
        </b:NameList>
      </b:Author>
    </b:Author>
    <b:Title>Bonding, Bridging, and Lingking Social Capital and Psychological Empowerment among Squatter Settlements in Tehran, Iran.</b:Title>
    <b:Year>2012</b:Year>
    <b:JournalName>Journal of Basic and Applied Scientific Research</b:JournalName>
    <b:Pages>Vol. 17 No.1</b:Pages>
    <b:RefOrder>13</b:RefOrder>
  </b:Source>
  <b:Source>
    <b:Tag>Tri17</b:Tag>
    <b:SourceType>JournalArticle</b:SourceType>
    <b:Guid>{670E9437-0ED8-49A5-A5A5-5C64F84BF953}</b:Guid>
    <b:Author>
      <b:Author>
        <b:NameList>
          <b:Person>
            <b:Last>Trinugroho</b:Last>
            <b:First>Irwan</b:First>
          </b:Person>
          <b:Person>
            <b:Last>Nugroho</b:Last>
            <b:First>Ariyanto</b:First>
            <b:Middle>Adhi</b:Middle>
          </b:Person>
          <b:Person>
            <b:Last>Harmadi</b:Last>
          </b:Person>
          <b:Person>
            <b:Last>Suyono</b:Last>
            <b:First>Joko</b:First>
          </b:Person>
          <b:Person>
            <b:Last>Toro</b:Last>
            <b:First>Muh</b:First>
            <b:Middle>Juan Suam Toro</b:Middle>
          </b:Person>
        </b:NameList>
      </b:Author>
    </b:Author>
    <b:Title>Households, Financial Distress, and Predatory Lending: An Experimental Study</b:Title>
    <b:JournalName>Jurnal Keuangan dan Perbankan</b:JournalName>
    <b:Year>2017</b:Year>
    <b:Pages>Vol. 21 No. 3</b:Pages>
    <b:RefOrder>2</b:RefOrder>
  </b:Source>
  <b:Source>
    <b:Tag>Sup13</b:Tag>
    <b:SourceType>JournalArticle</b:SourceType>
    <b:Guid>{87DC38D3-A8E9-4814-960F-B2CCB07C77D2}</b:Guid>
    <b:Author>
      <b:Author>
        <b:NameList>
          <b:Person>
            <b:Last>Abdullah</b:Last>
            <b:First>Suparman</b:First>
          </b:Person>
        </b:NameList>
      </b:Author>
    </b:Author>
    <b:Title>Potensi danKekuatan Modal Sosial dalam Suatu Komunitas</b:Title>
    <b:JournalName>Jurnal Socius</b:JournalName>
    <b:Year>2013</b:Year>
    <b:Pages>Vol 12.</b:Pages>
    <b:RefOrder>3</b:RefOrder>
  </b:Source>
  <b:Source>
    <b:Tag>Nyo11</b:Tag>
    <b:SourceType>Book</b:SourceType>
    <b:Guid>{F2AE749A-845B-4891-8466-32DB4DC82E09}</b:Guid>
    <b:Author>
      <b:Author>
        <b:NameList>
          <b:Person>
            <b:Last>Vipriyanti</b:Last>
            <b:First>Nyoman</b:First>
            <b:Middle>Utari</b:Middle>
          </b:Person>
        </b:NameList>
      </b:Author>
    </b:Author>
    <b:Title>Modal Sosial danPembangunan Wilayah, Mengkaji Succes story Pembangunan di Bali</b:Title>
    <b:Year>2011</b:Year>
    <b:City>Malang</b:City>
    <b:Publisher>UB Press</b:Publisher>
    <b:RefOrder>4</b:RefOrder>
  </b:Source>
  <b:Source>
    <b:Tag>IDe15</b:Tag>
    <b:SourceType>Book</b:SourceType>
    <b:Guid>{619AE4AF-663C-4AAD-A035-7F3BA681048D}</b:Guid>
    <b:Author>
      <b:Author>
        <b:NameList>
          <b:Person>
            <b:Last>Suartha</b:Last>
            <b:First>I</b:First>
            <b:Middle>Dewa Made</b:Middle>
          </b:Person>
        </b:NameList>
      </b:Author>
    </b:Author>
    <b:Title>Hukum dan Sanksi Adat Perspektif Pembaharuan Hukum Pidana</b:Title>
    <b:Year>2015</b:Year>
    <b:City>Malang</b:City>
    <b:Publisher>Setara Press</b:Publisher>
    <b:RefOrder>5</b:RefOrder>
  </b:Source>
  <b:Source>
    <b:Tag>Tri071</b:Tag>
    <b:SourceType>JournalArticle</b:SourceType>
    <b:Guid>{5738C276-3E01-42D6-B0FA-0709A6B39DCE}</b:Guid>
    <b:Author>
      <b:Author>
        <b:NameList>
          <b:Person>
            <b:Last>Kurniasari</b:Last>
            <b:First>Tri</b:First>
            <b:Middle>Widia</b:Middle>
          </b:Person>
        </b:NameList>
      </b:Author>
    </b:Author>
    <b:Title>Lembaga Perkreditan Desa (LPD) dalam Perspektif Hukum:Sebuah Lembaga Keuangan Adat Hindu Penggerak Usaha Sektor Informal di Bali</b:Title>
    <b:Year>2007</b:Year>
    <b:JournalName>Jurnal Masyarakat dan Budaya</b:JournalName>
    <b:Pages>Vol. 9 No. 1</b:Pages>
    <b:RefOrder>6</b:RefOrder>
  </b:Source>
  <b:Source>
    <b:Tag>INy11</b:Tag>
    <b:SourceType>Book</b:SourceType>
    <b:Guid>{F1AD6630-9611-43A1-B12C-240A720E1465}</b:Guid>
    <b:Author>
      <b:Author>
        <b:NameList>
          <b:Person>
            <b:Last>Sukandia</b:Last>
            <b:First>I</b:First>
            <b:Middle>Nyoman</b:Middle>
          </b:Person>
        </b:NameList>
      </b:Author>
    </b:Author>
    <b:Title> Landasan Teoritik Pengaturan LPD</b:Title>
    <b:Year>2011</b:Year>
    <b:City>Denpasar</b:City>
    <b:Publisher>Udayana Press</b:Publisher>
    <b:RefOrder>7</b:RefOrder>
  </b:Source>
  <b:Source>
    <b:Tag>Joh10</b:Tag>
    <b:SourceType>Book</b:SourceType>
    <b:Guid>{EBB65D91-3AE2-475F-A8E9-8723C536F204}</b:Guid>
    <b:Author>
      <b:Author>
        <b:NameList>
          <b:Person>
            <b:Last>Field</b:Last>
            <b:First>John</b:First>
          </b:Person>
        </b:NameList>
      </b:Author>
    </b:Author>
    <b:Title>Modal Sosial (Social Capital)</b:Title>
    <b:Year>2010</b:Year>
    <b:City>Bantul</b:City>
    <b:Publisher>Kreasi Wacana</b:Publisher>
    <b:RefOrder>8</b:RefOrder>
  </b:Source>
  <b:Source>
    <b:Tag>Placeholder1</b:Tag>
    <b:SourceType>Book</b:SourceType>
    <b:Guid>{AA5B41CC-87C4-4BCC-BEA3-341DB78BD2AF}</b:Guid>
    <b:Author>
      <b:Author>
        <b:NameList>
          <b:Person>
            <b:Last>Yustika</b:Last>
            <b:First>Prof.</b:First>
            <b:Middle>Dr. Ahamd Erani</b:Middle>
          </b:Person>
        </b:NameList>
      </b:Author>
    </b:Author>
    <b:Title>Ekonomi Kelembagaan Paradigma, Teori dan Kebijakan</b:Title>
    <b:Year>2013</b:Year>
    <b:City>Jakarta</b:City>
    <b:Publisher>Erlangga</b:Publisher>
    <b:RefOrder>18</b:RefOrder>
  </b:Source>
  <b:Source>
    <b:Tag>Mic01</b:Tag>
    <b:SourceType>JournalArticle</b:SourceType>
    <b:Guid>{47DF5884-4C07-4E07-8610-663D2DB178F5}</b:Guid>
    <b:Author>
      <b:Author>
        <b:NameList>
          <b:Person>
            <b:Last>Woolcock</b:Last>
            <b:First>Michael</b:First>
          </b:Person>
        </b:NameList>
      </b:Author>
    </b:Author>
    <b:Title>The Place of Social Capital in Understanding Social and Economic Outcomes</b:Title>
    <b:Year>2001</b:Year>
    <b:JournalName>Isuma: Canadian Journal of Policy Research</b:JournalName>
    <b:Pages>Vol 2, No. 1</b:Pages>
    <b:RefOrder>19</b:RefOrder>
  </b:Source>
  <b:Source>
    <b:Tag>Sug12</b:Tag>
    <b:SourceType>Book</b:SourceType>
    <b:Guid>{08D8B2B1-A1FC-4547-BE81-0FD94B4780F1}</b:Guid>
    <b:Author>
      <b:Author>
        <b:NameList>
          <b:Person>
            <b:Last>Sugiyono</b:Last>
          </b:Person>
        </b:NameList>
      </b:Author>
    </b:Author>
    <b:Title>Metode Penelitian Bisnis (Pendekatan Kuantitatif, Kualitatif dan R&amp;D)</b:Title>
    <b:Year>2012</b:Year>
    <b:City>Bandung</b:City>
    <b:Publisher>Alfabeta</b:Publisher>
    <b:RefOrder>9</b:RefOrder>
  </b:Source>
  <b:Source>
    <b:Tag>Wil86</b:Tag>
    <b:SourceType>Book</b:SourceType>
    <b:Guid>{EAC72AD2-BA1C-4181-A148-5DBA53D3DD54}</b:Guid>
    <b:Author>
      <b:Author>
        <b:NameList>
          <b:Person>
            <b:Last>Wiersma</b:Last>
            <b:First>Willian</b:First>
          </b:Person>
        </b:NameList>
      </b:Author>
    </b:Author>
    <b:Title>Research Methods in Education; An Introduction; Forth Edition</b:Title>
    <b:Year>1986</b:Year>
    <b:City>Boston, London, Sydney, Toronto</b:City>
    <b:Publisher>Massachusetts: Allyn and Bacon, Inc</b:Publisher>
    <b:RefOrder>10</b:RefOrder>
  </b:Source>
  <b:Source>
    <b:Tag>Mil141</b:Tag>
    <b:SourceType>Book</b:SourceType>
    <b:Guid>{3BB3E74D-3B31-498E-92B9-FCBFC2844830}</b:Guid>
    <b:Author>
      <b:Author>
        <b:NameList>
          <b:Person>
            <b:Last>Miles</b:Last>
            <b:First>M.B</b:First>
          </b:Person>
          <b:Person>
            <b:Last>Huberman</b:Last>
            <b:First>A.M</b:First>
          </b:Person>
          <b:Person>
            <b:Last>Saldana</b:Last>
            <b:First>J</b:First>
          </b:Person>
        </b:NameList>
      </b:Author>
    </b:Author>
    <b:Title>Qualitative Data Analysis, A methods.</b:Title>
    <b:Year>2014</b:Year>
    <b:City>USE</b:City>
    <b:Publisher>Sage Publication</b:Publisher>
    <b:RefOrder>20</b:RefOrder>
  </b:Source>
  <b:Source>
    <b:Tag>Rag13</b:Tag>
    <b:SourceType>JournalArticle</b:SourceType>
    <b:Guid>{3010A127-3A43-48FB-94D0-210220DAE394}</b:Guid>
    <b:Author>
      <b:Author>
        <b:NameList>
          <b:Person>
            <b:Last>Raga</b:Last>
            <b:First>Gede</b:First>
          </b:Person>
          <b:Person>
            <b:Last>Mudana</b:Last>
            <b:First>I</b:First>
            <b:Middle>Wayan</b:Middle>
          </b:Person>
        </b:NameList>
      </b:Author>
    </b:Author>
    <b:Title>Modal Sosial dalam Pengintegrasian Masyarakat Multietnis Pada Masyarakat Desa Pakraman Bali</b:Title>
    <b:Year>2013</b:Year>
    <b:JournalName>Junal Ilmu Sosial dan Humaniora</b:JournalName>
    <b:Pages>Vol. 2 No.2</b:Pages>
    <b:RefOrder>11</b:RefOrder>
  </b:Source>
  <b:Source>
    <b:Tag>Pag</b:Tag>
    <b:SourceType>Book</b:SourceType>
    <b:Guid>{C7C7D089-EB9D-4C7C-9F95-9DF71B7D8238}</b:Guid>
    <b:Author>
      <b:Author>
        <b:NameList>
          <b:Person>
            <b:Last>Pageh</b:Last>
            <b:First>I</b:First>
            <b:Middle>Made</b:Middle>
          </b:Person>
          <b:Person>
            <b:Last>Sugiartha</b:Last>
            <b:First>Wayan</b:First>
          </b:Person>
          <b:Person>
            <b:Last>Artha</b:Last>
            <b:First>Ketut</b:First>
            <b:Middle>Sedana</b:Middle>
          </b:Person>
        </b:NameList>
      </b:Author>
    </b:Author>
    <b:Title>Model Integrasi Masyarakat Multietnik Nyama Bali-Nyama Selam Belajar dari Enclaves Muslim di Bali</b:Title>
    <b:Year>2013</b:Year>
    <b:City>Denpasar</b:City>
    <b:Publisher>Pustaka Larasan</b:Publisher>
    <b:RefOrder>12</b:RefOrder>
  </b:Source>
  <b:Source>
    <b:Tag>Wid181</b:Tag>
    <b:SourceType>JournalArticle</b:SourceType>
    <b:Guid>{6BAE47CD-29E2-4BCB-93F7-C606AFE7BB3A}</b:Guid>
    <b:Author>
      <b:Author>
        <b:NameList>
          <b:Person>
            <b:Last>Widiyanti</b:Last>
            <b:First>Endah</b:First>
          </b:Person>
          <b:Person>
            <b:Last>Pudihardjo</b:Last>
          </b:Person>
          <b:Person>
            <b:Last>Saputra</b:Last>
            <b:First>Putu</b:First>
            <b:Middle>Mahardika Adi</b:Middle>
          </b:Person>
        </b:NameList>
      </b:Author>
    </b:Author>
    <b:Title>Tackling Poverty through Women Empowerment: The Role of Social Capital in Indonesian Women's Cooperative.</b:Title>
    <b:JournalName>Jurnal Ekonomi dan Studi Pembangunan</b:JournalName>
    <b:Year>2018</b:Year>
    <b:Pages>Vol. 1, No. 1</b:Pages>
    <b:RefOrder>21</b:RefOrder>
  </b:Source>
  <b:Source>
    <b:Tag>Lin051</b:Tag>
    <b:SourceType>JournalArticle</b:SourceType>
    <b:Guid>{8AD15CDD-0ECD-44A4-B69D-99375DC8B5DD}</b:Guid>
    <b:Author>
      <b:Author>
        <b:NameList>
          <b:Person>
            <b:Last>Arsyad</b:Last>
            <b:First>Lincolin</b:First>
          </b:Person>
        </b:NameList>
      </b:Author>
    </b:Author>
    <b:Title>An Assessment of Microfinance Institution Performance. The Importance of Institutional Environment</b:Title>
    <b:JournalName>Gajdah Mada International Journal of Business</b:JournalName>
    <b:Year>2005</b:Year>
    <b:Pages>Vol. 7, No. 3</b:Pages>
    <b:RefOrder>22</b:RefOrder>
  </b:Source>
</b:Sources>
</file>

<file path=customXml/itemProps1.xml><?xml version="1.0" encoding="utf-8"?>
<ds:datastoreItem xmlns:ds="http://schemas.openxmlformats.org/officeDocument/2006/customXml" ds:itemID="{5B0A82DB-4341-4550-86AF-253CAC81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4714</Words>
  <Characters>26872</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Center of Economic and Public Policy Studies</vt:lpstr>
    </vt:vector>
  </TitlesOfParts>
  <Company/>
  <LinksUpToDate>false</LinksUpToDate>
  <CharactersWithSpaces>31523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of Economic and Public Policy Studies</dc:title>
  <dc:creator>Khoirul Fuddin</dc:creator>
  <cp:lastModifiedBy>MITRA COMPUTER</cp:lastModifiedBy>
  <cp:revision>10</cp:revision>
  <cp:lastPrinted>2020-04-22T09:01:00Z</cp:lastPrinted>
  <dcterms:created xsi:type="dcterms:W3CDTF">2020-03-27T10:12:00Z</dcterms:created>
  <dcterms:modified xsi:type="dcterms:W3CDTF">2020-04-22T10:05:00Z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1d647eb5-b7d2-3f34-9fdb-5875071ac75b</vt:lpwstr>
  </property>
  <property fmtid="{D5CDD505-2E9C-101B-9397-08002B2CF9AE}" pid="24" name="Mendeley Citation Style_1">
    <vt:lpwstr>http://www.zotero.org/styles/apa</vt:lpwstr>
  </property>
</Properties>
</file>